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9C87A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Контрольно-счетная комиссия</w:t>
      </w:r>
    </w:p>
    <w:p w14:paraId="5FAACAE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Богородского муниципального округа Нижегородской области</w:t>
      </w:r>
    </w:p>
    <w:p w14:paraId="73483F0B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3D20AB3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Заключение</w:t>
      </w:r>
    </w:p>
    <w:p w14:paraId="2C6543FB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на проект решения Совета депутатов Богородского муниципального округа Нижегородской области «О внесении изменений в решение Совета депутатов Богородского муниципального округа Нижегородской области от 11.12.2025 № 148 «О бюджете Богородского муниципального округа Нижегородской области на 2026 год и на плановый период 2027 и 2028 годов»»</w:t>
      </w:r>
    </w:p>
    <w:p w14:paraId="1E803921">
      <w:pPr>
        <w:shd w:val="clear" w:color="auto" w:fill="FFFFFF"/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Контрольно-счетной комиссией Богородского муниципального округа в соответствии с Бюджетным кодексом РФ, Федеральным законом </w:t>
      </w:r>
      <w:r>
        <w:rPr>
          <w:rFonts w:ascii="Times New Roman" w:hAnsi="Times New Roman"/>
          <w:color w:val="000000"/>
          <w:sz w:val="26"/>
          <w:szCs w:val="26"/>
        </w:rPr>
        <w:t xml:space="preserve">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>
        <w:rPr>
          <w:rFonts w:ascii="Times New Roman" w:hAnsi="Times New Roman"/>
          <w:sz w:val="26"/>
          <w:szCs w:val="26"/>
        </w:rPr>
        <w:t>решением Совета депутатов Богородского муниципального округа Нижегородской области</w:t>
      </w:r>
      <w:r>
        <w:rPr>
          <w:rFonts w:ascii="Times New Roman" w:hAnsi="Times New Roman"/>
          <w:color w:val="000000"/>
          <w:sz w:val="26"/>
          <w:szCs w:val="26"/>
        </w:rPr>
        <w:t xml:space="preserve"> от 09.10.2020 № 26 «</w:t>
      </w:r>
      <w:r>
        <w:rPr>
          <w:rFonts w:ascii="Times New Roman" w:hAnsi="Times New Roman"/>
          <w:bCs/>
          <w:sz w:val="26"/>
          <w:szCs w:val="26"/>
        </w:rPr>
        <w:t>Об утверждении Положения о бюджетном процессе в Богородском муниципальном округе Нижегородской области»,</w:t>
      </w:r>
      <w:r>
        <w:rPr>
          <w:rFonts w:ascii="Times New Roman" w:hAnsi="Times New Roman"/>
          <w:sz w:val="26"/>
          <w:szCs w:val="26"/>
        </w:rPr>
        <w:t xml:space="preserve"> Положением о контрольно-счетной комиссии Богородского муниципального округа Нижегородской области, утвержденным решением Совета депутатов Богородского муниципального округа Нижегородской области от 16.12.2021 № 203 проведена экспертиза проекта решения Совета депутатов Богородского муниципального округа Нижегородской области «О внесении изменений в решение Совета депутатов Богородского муниципального округа Нижегородской области от 11.12.2025 № 148 «</w:t>
      </w:r>
      <w:r>
        <w:rPr>
          <w:rFonts w:ascii="Times New Roman" w:hAnsi="Times New Roman"/>
          <w:color w:val="000000"/>
          <w:sz w:val="26"/>
          <w:szCs w:val="26"/>
        </w:rPr>
        <w:t>О бюджете Богородского муниципального округа Нижегородской области на 2026 год и на плановый период 2027 и 2028 годов</w:t>
      </w:r>
      <w:r>
        <w:rPr>
          <w:rFonts w:ascii="Times New Roman" w:hAnsi="Times New Roman"/>
          <w:sz w:val="26"/>
          <w:szCs w:val="26"/>
        </w:rPr>
        <w:t>»» (далее – проект решения).</w:t>
      </w:r>
    </w:p>
    <w:p w14:paraId="1657897C">
      <w:pPr>
        <w:pStyle w:val="188"/>
        <w:numPr>
          <w:ilvl w:val="0"/>
          <w:numId w:val="1"/>
        </w:numPr>
        <w:shd w:val="clear" w:color="auto" w:fill="FFFFFF"/>
        <w:spacing w:line="240" w:lineRule="auto"/>
        <w:ind w:left="0" w:firstLine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Изменения основных характеристик бюджета Богородского муниципального округа Нижегородской области на 2026 год и на плановый период 2027 и 2028 годов.</w:t>
      </w:r>
    </w:p>
    <w:p w14:paraId="5C854A49">
      <w:pPr>
        <w:pStyle w:val="188"/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Согласно материалам к проекту решения в основные характеристики местного бюджета на 2026 год и плановый период 2027 и 2028 годов, утвержденные решением Совета депутатов Богородского муниципального округа Нижегородской области от 11.12.2025 № 148 «</w:t>
      </w:r>
      <w:r>
        <w:rPr>
          <w:rFonts w:ascii="Times New Roman" w:hAnsi="Times New Roman"/>
          <w:color w:val="000000"/>
          <w:sz w:val="26"/>
          <w:szCs w:val="26"/>
        </w:rPr>
        <w:t>О бюджете Богородского муниципального округа Нижегородской области на 2026 год и на плановый период 2027 и 2028 годов</w:t>
      </w:r>
      <w:r>
        <w:rPr>
          <w:rFonts w:ascii="Times New Roman" w:hAnsi="Times New Roman"/>
          <w:sz w:val="26"/>
          <w:szCs w:val="26"/>
        </w:rPr>
        <w:t>» (далее – решение от 11.12.2025 № 148), предлагается внести следующие изменения:</w:t>
      </w:r>
    </w:p>
    <w:p w14:paraId="43A707B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14:paraId="5AA4CDB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тыс. рублей</w:t>
      </w:r>
    </w:p>
    <w:tbl>
      <w:tblPr>
        <w:tblStyle w:val="22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9"/>
        <w:gridCol w:w="2268"/>
        <w:gridCol w:w="1376"/>
        <w:gridCol w:w="1884"/>
        <w:gridCol w:w="1380"/>
      </w:tblGrid>
      <w:tr w14:paraId="11A7D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23B73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C612D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(в редакции решения от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30.04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36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250D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решения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B57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Изменения к утвержденному решению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F1AA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 изменения</w:t>
            </w:r>
          </w:p>
        </w:tc>
      </w:tr>
      <w:tr w14:paraId="1F5085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51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4D8C3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2026 год</w:t>
            </w:r>
          </w:p>
        </w:tc>
      </w:tr>
      <w:tr w14:paraId="7F71AD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0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6A93C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доходов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BF2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740 465,96 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8291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737 753,82 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4D436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-2 712,14 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C7695E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- 0,1 </w:t>
            </w:r>
          </w:p>
        </w:tc>
      </w:tr>
      <w:tr w14:paraId="22979E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4DFE475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расходов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E9F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016 179,98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A7AE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037 055,88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99170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20 875,90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0CCAE0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0,5 </w:t>
            </w:r>
          </w:p>
        </w:tc>
      </w:tr>
      <w:tr w14:paraId="579E1A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4DA5C3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Дефицит (-), профицит (+)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A4E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-275 714,02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A3217B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-299 302,06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98F2D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-23 588,04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243F9B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8,6 </w:t>
            </w:r>
          </w:p>
        </w:tc>
      </w:tr>
      <w:tr w14:paraId="4588E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1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4686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2027 год</w:t>
            </w:r>
          </w:p>
        </w:tc>
      </w:tr>
      <w:tr w14:paraId="3E22B6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2CEEB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доходов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2F91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373 706,02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C5872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373 706,02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20282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2866C4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6FA401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6DA203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расходов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437A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353 706,02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08434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353 706,02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EE9102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620C1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16ACC4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CC0FD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Дефицит (+), профицит (-)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C727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344C210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89E128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2DC9F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1DEE5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517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7B6A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2028 год</w:t>
            </w:r>
          </w:p>
        </w:tc>
      </w:tr>
      <w:tr w14:paraId="41378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22841D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доходов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075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517 050,99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4C86F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517 050,99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54D4AD2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0C035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791EB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B38054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Всего расходов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5A67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497 050,99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02DB8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497 050,99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D0078C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F88AC7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  <w:tr w14:paraId="38875C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" w:hRule="atLeast"/>
          <w:jc w:val="center"/>
        </w:trPr>
        <w:tc>
          <w:tcPr>
            <w:tcW w:w="2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B974F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Style w:val="190"/>
                <w:rFonts w:hint="default"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Дефицит (-), профицит (+)</w:t>
            </w:r>
          </w:p>
        </w:tc>
        <w:tc>
          <w:tcPr>
            <w:tcW w:w="22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213C4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3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1F13337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20 000,00 </w:t>
            </w:r>
          </w:p>
        </w:tc>
        <w:tc>
          <w:tcPr>
            <w:tcW w:w="18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6B5BFC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3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top"/>
          </w:tcPr>
          <w:p w14:paraId="0E77224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-</w:t>
            </w:r>
          </w:p>
        </w:tc>
      </w:tr>
    </w:tbl>
    <w:p w14:paraId="5FF11097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</w:p>
    <w:p w14:paraId="139280C9">
      <w:pPr>
        <w:pStyle w:val="188"/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firstLine="363"/>
        <w:jc w:val="center"/>
        <w:textAlignment w:val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6"/>
          <w:szCs w:val="26"/>
        </w:rPr>
        <w:t>Основные изменения доходов бюджета Богородского муниципального округа Нижегородской области.</w:t>
      </w:r>
    </w:p>
    <w:p w14:paraId="7786EE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right"/>
        <w:textAlignment w:val="auto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sz w:val="20"/>
          <w:szCs w:val="20"/>
        </w:rPr>
        <w:t>тыс. рублей</w:t>
      </w:r>
    </w:p>
    <w:tbl>
      <w:tblPr>
        <w:tblStyle w:val="3"/>
        <w:tblpPr w:leftFromText="180" w:rightFromText="180" w:vertAnchor="text" w:horzAnchor="page" w:tblpX="1692" w:tblpY="241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7"/>
        <w:gridCol w:w="2647"/>
        <w:gridCol w:w="1307"/>
        <w:gridCol w:w="1682"/>
        <w:gridCol w:w="1221"/>
      </w:tblGrid>
      <w:tr w14:paraId="1BBA07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2757" w:type="dxa"/>
            <w:noWrap/>
          </w:tcPr>
          <w:p w14:paraId="175549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647" w:type="dxa"/>
            <w:noWrap/>
          </w:tcPr>
          <w:p w14:paraId="1B40F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(в редакции решения от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30.04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36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307" w:type="dxa"/>
            <w:noWrap/>
          </w:tcPr>
          <w:p w14:paraId="702325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решения</w:t>
            </w:r>
          </w:p>
        </w:tc>
        <w:tc>
          <w:tcPr>
            <w:tcW w:w="1682" w:type="dxa"/>
            <w:noWrap/>
          </w:tcPr>
          <w:p w14:paraId="1D3B0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Изменения к утверждённому решению</w:t>
            </w:r>
          </w:p>
        </w:tc>
        <w:tc>
          <w:tcPr>
            <w:tcW w:w="1221" w:type="dxa"/>
            <w:noWrap/>
          </w:tcPr>
          <w:p w14:paraId="71D05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 изменения</w:t>
            </w:r>
          </w:p>
        </w:tc>
      </w:tr>
      <w:tr w14:paraId="21DB1D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" w:hRule="atLeast"/>
        </w:trPr>
        <w:tc>
          <w:tcPr>
            <w:tcW w:w="2757" w:type="dxa"/>
            <w:noWrap/>
          </w:tcPr>
          <w:p w14:paraId="348959CC">
            <w:pPr>
              <w:pStyle w:val="188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47" w:type="dxa"/>
            <w:noWrap/>
            <w:vAlign w:val="top"/>
          </w:tcPr>
          <w:p w14:paraId="5218313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318 308,28 </w:t>
            </w:r>
          </w:p>
        </w:tc>
        <w:tc>
          <w:tcPr>
            <w:tcW w:w="1307" w:type="dxa"/>
            <w:noWrap/>
            <w:vAlign w:val="top"/>
          </w:tcPr>
          <w:p w14:paraId="3F419C0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318 308,28 </w:t>
            </w:r>
          </w:p>
        </w:tc>
        <w:tc>
          <w:tcPr>
            <w:tcW w:w="1682" w:type="dxa"/>
            <w:noWrap/>
            <w:vAlign w:val="top"/>
          </w:tcPr>
          <w:p w14:paraId="0283DD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221" w:type="dxa"/>
            <w:noWrap/>
            <w:vAlign w:val="top"/>
          </w:tcPr>
          <w:p w14:paraId="5F70755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18F8B7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7" w:type="dxa"/>
            <w:noWrap/>
          </w:tcPr>
          <w:p w14:paraId="15406639">
            <w:pPr>
              <w:pStyle w:val="188"/>
              <w:keepNext w:val="0"/>
              <w:keepLines w:val="0"/>
              <w:pageBreakBefore w:val="0"/>
              <w:widowControl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47" w:type="dxa"/>
            <w:noWrap/>
            <w:vAlign w:val="top"/>
          </w:tcPr>
          <w:p w14:paraId="6AB5EFC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422 157,68 </w:t>
            </w:r>
          </w:p>
        </w:tc>
        <w:tc>
          <w:tcPr>
            <w:tcW w:w="1307" w:type="dxa"/>
            <w:noWrap/>
            <w:vAlign w:val="top"/>
          </w:tcPr>
          <w:p w14:paraId="49EF4FE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419 445,54 </w:t>
            </w:r>
          </w:p>
        </w:tc>
        <w:tc>
          <w:tcPr>
            <w:tcW w:w="1682" w:type="dxa"/>
            <w:noWrap/>
            <w:vAlign w:val="top"/>
          </w:tcPr>
          <w:p w14:paraId="6298AE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-2 712,14 </w:t>
            </w:r>
          </w:p>
        </w:tc>
        <w:tc>
          <w:tcPr>
            <w:tcW w:w="1221" w:type="dxa"/>
            <w:noWrap/>
            <w:vAlign w:val="top"/>
          </w:tcPr>
          <w:p w14:paraId="16D8CC1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- 0,1 </w:t>
            </w:r>
          </w:p>
        </w:tc>
      </w:tr>
      <w:tr w14:paraId="7F249D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57" w:type="dxa"/>
            <w:noWrap/>
          </w:tcPr>
          <w:p w14:paraId="773D3B93">
            <w:pPr>
              <w:pStyle w:val="18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bCs/>
                <w:sz w:val="20"/>
                <w:szCs w:val="20"/>
              </w:rPr>
              <w:t>Всего доходов</w:t>
            </w:r>
          </w:p>
        </w:tc>
        <w:tc>
          <w:tcPr>
            <w:tcW w:w="2647" w:type="dxa"/>
            <w:noWrap/>
            <w:vAlign w:val="top"/>
          </w:tcPr>
          <w:p w14:paraId="0246307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740 465,96 </w:t>
            </w:r>
          </w:p>
        </w:tc>
        <w:tc>
          <w:tcPr>
            <w:tcW w:w="1307" w:type="dxa"/>
            <w:noWrap/>
            <w:vAlign w:val="top"/>
          </w:tcPr>
          <w:p w14:paraId="583456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737 753,82 </w:t>
            </w:r>
          </w:p>
        </w:tc>
        <w:tc>
          <w:tcPr>
            <w:tcW w:w="1682" w:type="dxa"/>
            <w:noWrap/>
            <w:vAlign w:val="top"/>
          </w:tcPr>
          <w:p w14:paraId="5FFEAD5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-2 712,14 </w:t>
            </w:r>
          </w:p>
        </w:tc>
        <w:tc>
          <w:tcPr>
            <w:tcW w:w="1221" w:type="dxa"/>
            <w:noWrap/>
            <w:vAlign w:val="top"/>
          </w:tcPr>
          <w:p w14:paraId="4C1BB24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top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- 0,1 </w:t>
            </w:r>
          </w:p>
        </w:tc>
      </w:tr>
    </w:tbl>
    <w:p w14:paraId="12E5D2B8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Согласно пояснительной записке к проекту решения изменение доходов осуществляется за счет </w:t>
      </w:r>
      <w:r>
        <w:rPr>
          <w:rFonts w:ascii="Times New Roman" w:hAnsi="Times New Roman"/>
          <w:sz w:val="26"/>
          <w:szCs w:val="26"/>
          <w:lang w:val="ru-RU"/>
        </w:rPr>
        <w:t>налоговых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и неналоговых доходов, и </w:t>
      </w:r>
      <w:r>
        <w:rPr>
          <w:rFonts w:ascii="Times New Roman" w:hAnsi="Times New Roman"/>
          <w:sz w:val="26"/>
          <w:szCs w:val="26"/>
        </w:rPr>
        <w:t>безвозмездных поступлений из областного.</w:t>
      </w:r>
    </w:p>
    <w:p w14:paraId="0C4E26E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В 2026 году доходная часть бюджета увеличивается на 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677,68 </w:t>
      </w:r>
      <w:r>
        <w:rPr>
          <w:rFonts w:ascii="Times New Roman" w:hAnsi="Times New Roman"/>
          <w:sz w:val="26"/>
          <w:szCs w:val="26"/>
        </w:rPr>
        <w:t xml:space="preserve">тыс. рублей за счет увеличения следующих доходов: </w:t>
      </w:r>
    </w:p>
    <w:p w14:paraId="1B0EEF69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657" w:firstLineChars="253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Инициативные платежи, зачисляемые в бюджеты муниципальных округов в сумме 502,68 тыс.рублей.</w:t>
      </w:r>
    </w:p>
    <w:p w14:paraId="60821B38">
      <w:pPr>
        <w:pStyle w:val="188"/>
        <w:numPr>
          <w:ilvl w:val="0"/>
          <w:numId w:val="3"/>
        </w:numPr>
        <w:shd w:val="clear" w:color="auto" w:fill="FFFFFF"/>
        <w:spacing w:after="0" w:line="240" w:lineRule="auto"/>
        <w:ind w:left="0" w:leftChars="0"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Прочих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м</w:t>
      </w:r>
      <w:r>
        <w:rPr>
          <w:rFonts w:ascii="Times New Roman" w:hAnsi="Times New Roman"/>
          <w:sz w:val="26"/>
          <w:szCs w:val="26"/>
        </w:rPr>
        <w:t>ежбюджетных трансфертов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, передаваемых бюджетам муниципальных округов  </w:t>
      </w:r>
      <w:r>
        <w:rPr>
          <w:rFonts w:ascii="Times New Roman" w:hAnsi="Times New Roman"/>
          <w:sz w:val="26"/>
          <w:szCs w:val="26"/>
        </w:rPr>
        <w:t xml:space="preserve">в сумме </w:t>
      </w:r>
      <w:r>
        <w:rPr>
          <w:rFonts w:hint="default" w:ascii="Times New Roman" w:hAnsi="Times New Roman"/>
          <w:sz w:val="26"/>
          <w:szCs w:val="26"/>
          <w:lang w:val="ru-RU"/>
        </w:rPr>
        <w:t>175,00</w:t>
      </w:r>
      <w:r>
        <w:rPr>
          <w:rFonts w:ascii="Times New Roman" w:hAnsi="Times New Roman"/>
          <w:sz w:val="26"/>
          <w:szCs w:val="26"/>
        </w:rPr>
        <w:t xml:space="preserve"> тыс. рублей.</w:t>
      </w:r>
    </w:p>
    <w:p w14:paraId="35A093FD">
      <w:pPr>
        <w:pStyle w:val="188"/>
        <w:numPr>
          <w:ilvl w:val="0"/>
          <w:numId w:val="0"/>
        </w:numPr>
        <w:shd w:val="clear" w:color="auto" w:fill="FFFFFF"/>
        <w:spacing w:after="0" w:line="240" w:lineRule="auto"/>
        <w:ind w:left="0" w:leftChars="0" w:firstLine="657" w:firstLineChars="253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 xml:space="preserve">Уменьшение доходной части осуществляется в сумме </w:t>
      </w:r>
      <w:r>
        <w:rPr>
          <w:rFonts w:hint="default" w:ascii="Times New Roman" w:hAnsi="Times New Roman"/>
          <w:sz w:val="26"/>
          <w:szCs w:val="26"/>
          <w:lang w:val="ru-RU"/>
        </w:rPr>
        <w:t>3 389,82</w:t>
      </w:r>
      <w:r>
        <w:rPr>
          <w:rFonts w:ascii="Times New Roman" w:hAnsi="Times New Roman"/>
          <w:sz w:val="26"/>
          <w:szCs w:val="26"/>
        </w:rPr>
        <w:t xml:space="preserve"> тыс. рублей за счет сокращения следующих доходов: </w:t>
      </w:r>
    </w:p>
    <w:p w14:paraId="306C6485">
      <w:pPr>
        <w:pStyle w:val="188"/>
        <w:numPr>
          <w:ilvl w:val="0"/>
          <w:numId w:val="4"/>
        </w:numPr>
        <w:shd w:val="clear" w:color="auto" w:fill="FFFFFF"/>
        <w:spacing w:after="0" w:line="240" w:lineRule="auto"/>
        <w:ind w:left="0" w:firstLine="658"/>
        <w:jc w:val="both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Государственной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пошлины по делам, рассматриваемым в судах общей юрисдикцией, мировыми судьями  в сумме 502,68 тыс.рублей.</w:t>
      </w:r>
    </w:p>
    <w:p w14:paraId="1843A1E6">
      <w:pPr>
        <w:pStyle w:val="188"/>
        <w:numPr>
          <w:ilvl w:val="0"/>
          <w:numId w:val="4"/>
        </w:numPr>
        <w:shd w:val="clear" w:color="auto" w:fill="FFFFFF"/>
        <w:spacing w:after="0" w:line="240" w:lineRule="auto"/>
        <w:ind w:left="0" w:firstLine="658"/>
        <w:jc w:val="both"/>
        <w:rPr>
          <w:rFonts w:hint="default"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</w:rPr>
        <w:t>Субсиди</w:t>
      </w:r>
      <w:r>
        <w:rPr>
          <w:rFonts w:ascii="Times New Roman" w:hAnsi="Times New Roman"/>
          <w:sz w:val="26"/>
          <w:szCs w:val="26"/>
          <w:lang w:val="ru-RU"/>
        </w:rPr>
        <w:t>й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>бюджетам муниципальных округов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на обеспечение комплексного развития сельских территорий в сумме 2 745,87 тыс.рублей.</w:t>
      </w:r>
    </w:p>
    <w:p w14:paraId="7679311A">
      <w:pPr>
        <w:pStyle w:val="188"/>
        <w:numPr>
          <w:ilvl w:val="0"/>
          <w:numId w:val="4"/>
        </w:numPr>
        <w:shd w:val="clear" w:color="auto" w:fill="FFFFFF"/>
        <w:spacing w:after="0" w:line="240" w:lineRule="auto"/>
        <w:ind w:left="0" w:firstLine="65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val="ru-RU"/>
        </w:rPr>
        <w:t>П</w:t>
      </w:r>
      <w:r>
        <w:rPr>
          <w:rFonts w:ascii="Times New Roman" w:hAnsi="Times New Roman"/>
          <w:sz w:val="26"/>
          <w:szCs w:val="26"/>
        </w:rPr>
        <w:t xml:space="preserve">рочих субсидий бюджетам муниципальных округов в сумме </w:t>
      </w:r>
      <w:r>
        <w:rPr>
          <w:rFonts w:hint="default" w:ascii="Times New Roman" w:hAnsi="Times New Roman"/>
          <w:sz w:val="26"/>
          <w:szCs w:val="26"/>
          <w:lang w:val="ru-RU"/>
        </w:rPr>
        <w:t>141,37</w:t>
      </w:r>
      <w:r>
        <w:rPr>
          <w:rFonts w:ascii="Times New Roman" w:hAnsi="Times New Roman"/>
          <w:sz w:val="26"/>
          <w:szCs w:val="26"/>
        </w:rPr>
        <w:t xml:space="preserve"> тыс. рублей.</w:t>
      </w:r>
    </w:p>
    <w:p w14:paraId="4585DD1E">
      <w:pPr>
        <w:pStyle w:val="188"/>
        <w:numPr>
          <w:ilvl w:val="0"/>
          <w:numId w:val="2"/>
        </w:numPr>
        <w:shd w:val="clear" w:color="auto" w:fill="FFFFFF"/>
        <w:spacing w:before="240" w:after="0" w:line="240" w:lineRule="auto"/>
        <w:ind w:left="0" w:firstLine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Основные изменения бюджетных ассигнований на осуществление расходов бюджета Богородского муниципального округа </w:t>
      </w:r>
    </w:p>
    <w:p w14:paraId="79174A02">
      <w:pPr>
        <w:pStyle w:val="188"/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Нижегородской области</w:t>
      </w:r>
    </w:p>
    <w:p w14:paraId="2FAB8FB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Информация об изменениях бюджетных ассигнований по разделам классификации расходов местного бюджета на 2026 год представлена в таблице.</w:t>
      </w:r>
    </w:p>
    <w:p w14:paraId="79D8E3E4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тыс. рублей</w:t>
      </w:r>
    </w:p>
    <w:tbl>
      <w:tblPr>
        <w:tblStyle w:val="3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3"/>
        <w:gridCol w:w="2408"/>
        <w:gridCol w:w="1372"/>
        <w:gridCol w:w="1864"/>
        <w:gridCol w:w="1147"/>
      </w:tblGrid>
      <w:tr w14:paraId="05C279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  <w:vAlign w:val="center"/>
          </w:tcPr>
          <w:p w14:paraId="70E5C3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Наименование раздела классификации расходов бюджета</w:t>
            </w:r>
          </w:p>
        </w:tc>
        <w:tc>
          <w:tcPr>
            <w:tcW w:w="2408" w:type="dxa"/>
            <w:noWrap/>
            <w:vAlign w:val="center"/>
          </w:tcPr>
          <w:p w14:paraId="0F440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(в редакции решения от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30.04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sz w:val="18"/>
                <w:szCs w:val="18"/>
                <w:lang w:val="ru-RU"/>
              </w:rPr>
              <w:t>36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72" w:type="dxa"/>
            <w:noWrap/>
            <w:vAlign w:val="center"/>
          </w:tcPr>
          <w:p w14:paraId="3F124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 xml:space="preserve">Проект решения </w:t>
            </w:r>
          </w:p>
        </w:tc>
        <w:tc>
          <w:tcPr>
            <w:tcW w:w="1864" w:type="dxa"/>
            <w:noWrap/>
            <w:vAlign w:val="center"/>
          </w:tcPr>
          <w:p w14:paraId="027BAE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 xml:space="preserve">Изменения к утвержденному решению </w:t>
            </w:r>
          </w:p>
        </w:tc>
        <w:tc>
          <w:tcPr>
            <w:tcW w:w="1147" w:type="dxa"/>
            <w:noWrap/>
            <w:vAlign w:val="center"/>
          </w:tcPr>
          <w:p w14:paraId="633788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sz w:val="20"/>
                <w:szCs w:val="20"/>
              </w:rPr>
              <w:t>% изменения</w:t>
            </w:r>
          </w:p>
        </w:tc>
      </w:tr>
      <w:tr w14:paraId="5F03D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60AE2F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Общегосударственные вопросы</w:t>
            </w:r>
          </w:p>
        </w:tc>
        <w:tc>
          <w:tcPr>
            <w:tcW w:w="2408" w:type="dxa"/>
            <w:noWrap/>
            <w:vAlign w:val="bottom"/>
          </w:tcPr>
          <w:p w14:paraId="26D207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018,32</w:t>
            </w:r>
          </w:p>
        </w:tc>
        <w:tc>
          <w:tcPr>
            <w:tcW w:w="1372" w:type="dxa"/>
            <w:noWrap/>
            <w:vAlign w:val="bottom"/>
          </w:tcPr>
          <w:p w14:paraId="486A8F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31286,99</w:t>
            </w:r>
          </w:p>
        </w:tc>
        <w:tc>
          <w:tcPr>
            <w:tcW w:w="1864" w:type="dxa"/>
            <w:noWrap/>
            <w:vAlign w:val="bottom"/>
          </w:tcPr>
          <w:p w14:paraId="4D4A14D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-7 731,33 </w:t>
            </w:r>
          </w:p>
        </w:tc>
        <w:tc>
          <w:tcPr>
            <w:tcW w:w="1147" w:type="dxa"/>
            <w:noWrap/>
            <w:vAlign w:val="bottom"/>
          </w:tcPr>
          <w:p w14:paraId="16640D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- 2,3 </w:t>
            </w:r>
          </w:p>
        </w:tc>
      </w:tr>
      <w:tr w14:paraId="187F4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13E14F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Национальная оборона</w:t>
            </w:r>
          </w:p>
        </w:tc>
        <w:tc>
          <w:tcPr>
            <w:tcW w:w="2408" w:type="dxa"/>
            <w:noWrap/>
            <w:vAlign w:val="bottom"/>
          </w:tcPr>
          <w:p w14:paraId="6A840CD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907,8</w:t>
            </w:r>
          </w:p>
        </w:tc>
        <w:tc>
          <w:tcPr>
            <w:tcW w:w="1372" w:type="dxa"/>
            <w:noWrap/>
            <w:vAlign w:val="bottom"/>
          </w:tcPr>
          <w:p w14:paraId="783FBE4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2907,8</w:t>
            </w:r>
          </w:p>
        </w:tc>
        <w:tc>
          <w:tcPr>
            <w:tcW w:w="1864" w:type="dxa"/>
            <w:noWrap/>
            <w:vAlign w:val="bottom"/>
          </w:tcPr>
          <w:p w14:paraId="7B4F13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7" w:type="dxa"/>
            <w:noWrap/>
            <w:vAlign w:val="bottom"/>
          </w:tcPr>
          <w:p w14:paraId="5DB1DE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54987D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17D61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  <w:t>Национальная безопасность и правоохранительная деятельность</w:t>
            </w:r>
          </w:p>
        </w:tc>
        <w:tc>
          <w:tcPr>
            <w:tcW w:w="2408" w:type="dxa"/>
            <w:noWrap/>
            <w:vAlign w:val="bottom"/>
          </w:tcPr>
          <w:p w14:paraId="1DDAB55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73 797,80 </w:t>
            </w:r>
          </w:p>
        </w:tc>
        <w:tc>
          <w:tcPr>
            <w:tcW w:w="1372" w:type="dxa"/>
            <w:noWrap/>
            <w:vAlign w:val="bottom"/>
          </w:tcPr>
          <w:p w14:paraId="5EEFBE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74 643,02 </w:t>
            </w:r>
          </w:p>
        </w:tc>
        <w:tc>
          <w:tcPr>
            <w:tcW w:w="1864" w:type="dxa"/>
            <w:noWrap/>
            <w:vAlign w:val="bottom"/>
          </w:tcPr>
          <w:p w14:paraId="25A4AB9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845,22 </w:t>
            </w:r>
          </w:p>
        </w:tc>
        <w:tc>
          <w:tcPr>
            <w:tcW w:w="1147" w:type="dxa"/>
            <w:noWrap/>
            <w:vAlign w:val="bottom"/>
          </w:tcPr>
          <w:p w14:paraId="1D99BFF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1,1 </w:t>
            </w:r>
          </w:p>
        </w:tc>
      </w:tr>
      <w:tr w14:paraId="18C983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4D198A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Национальная экономика</w:t>
            </w:r>
          </w:p>
        </w:tc>
        <w:tc>
          <w:tcPr>
            <w:tcW w:w="2408" w:type="dxa"/>
            <w:noWrap/>
            <w:vAlign w:val="bottom"/>
          </w:tcPr>
          <w:p w14:paraId="568EE8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255 708,32 </w:t>
            </w:r>
          </w:p>
        </w:tc>
        <w:tc>
          <w:tcPr>
            <w:tcW w:w="1372" w:type="dxa"/>
            <w:noWrap/>
            <w:vAlign w:val="bottom"/>
          </w:tcPr>
          <w:p w14:paraId="7458163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276 458,22 </w:t>
            </w:r>
          </w:p>
        </w:tc>
        <w:tc>
          <w:tcPr>
            <w:tcW w:w="1864" w:type="dxa"/>
            <w:noWrap/>
            <w:vAlign w:val="bottom"/>
          </w:tcPr>
          <w:p w14:paraId="7847E0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20 749,90 </w:t>
            </w:r>
          </w:p>
        </w:tc>
        <w:tc>
          <w:tcPr>
            <w:tcW w:w="1147" w:type="dxa"/>
            <w:noWrap/>
            <w:vAlign w:val="bottom"/>
          </w:tcPr>
          <w:p w14:paraId="230EC3C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8,1 </w:t>
            </w:r>
          </w:p>
        </w:tc>
      </w:tr>
      <w:tr w14:paraId="45381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 w14:paraId="650E75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Жилищно-коммунальное хозяйство</w:t>
            </w:r>
          </w:p>
        </w:tc>
        <w:tc>
          <w:tcPr>
            <w:tcW w:w="2408" w:type="dxa"/>
            <w:noWrap/>
            <w:vAlign w:val="bottom"/>
          </w:tcPr>
          <w:p w14:paraId="7BABD42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841 226,46 </w:t>
            </w:r>
          </w:p>
        </w:tc>
        <w:tc>
          <w:tcPr>
            <w:tcW w:w="1372" w:type="dxa"/>
            <w:noWrap/>
            <w:vAlign w:val="bottom"/>
          </w:tcPr>
          <w:p w14:paraId="4B53802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845 332,64 </w:t>
            </w:r>
          </w:p>
        </w:tc>
        <w:tc>
          <w:tcPr>
            <w:tcW w:w="1864" w:type="dxa"/>
            <w:noWrap/>
            <w:vAlign w:val="bottom"/>
          </w:tcPr>
          <w:p w14:paraId="7A30011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4 106,18 </w:t>
            </w:r>
          </w:p>
        </w:tc>
        <w:tc>
          <w:tcPr>
            <w:tcW w:w="1147" w:type="dxa"/>
            <w:noWrap/>
            <w:vAlign w:val="bottom"/>
          </w:tcPr>
          <w:p w14:paraId="555F8FE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0,5 </w:t>
            </w:r>
          </w:p>
        </w:tc>
      </w:tr>
      <w:tr w14:paraId="669C77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5E464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 xml:space="preserve">Образование </w:t>
            </w:r>
          </w:p>
        </w:tc>
        <w:tc>
          <w:tcPr>
            <w:tcW w:w="2408" w:type="dxa"/>
            <w:noWrap/>
            <w:vAlign w:val="bottom"/>
          </w:tcPr>
          <w:p w14:paraId="3F05EB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991 481,33 </w:t>
            </w:r>
          </w:p>
        </w:tc>
        <w:tc>
          <w:tcPr>
            <w:tcW w:w="1372" w:type="dxa"/>
            <w:noWrap/>
            <w:vAlign w:val="bottom"/>
          </w:tcPr>
          <w:p w14:paraId="3AA9C5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992 748,57 </w:t>
            </w:r>
          </w:p>
        </w:tc>
        <w:tc>
          <w:tcPr>
            <w:tcW w:w="1864" w:type="dxa"/>
            <w:noWrap/>
            <w:vAlign w:val="bottom"/>
          </w:tcPr>
          <w:p w14:paraId="64B039E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1 267,24 </w:t>
            </w:r>
          </w:p>
        </w:tc>
        <w:tc>
          <w:tcPr>
            <w:tcW w:w="1147" w:type="dxa"/>
            <w:noWrap/>
            <w:vAlign w:val="bottom"/>
          </w:tcPr>
          <w:p w14:paraId="3CA6A8F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 </w:t>
            </w:r>
          </w:p>
        </w:tc>
      </w:tr>
      <w:tr w14:paraId="166BC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461F9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Культура, кинематография</w:t>
            </w:r>
          </w:p>
        </w:tc>
        <w:tc>
          <w:tcPr>
            <w:tcW w:w="2408" w:type="dxa"/>
            <w:noWrap/>
            <w:vAlign w:val="bottom"/>
          </w:tcPr>
          <w:p w14:paraId="647A6AD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237 434,24 </w:t>
            </w:r>
          </w:p>
        </w:tc>
        <w:tc>
          <w:tcPr>
            <w:tcW w:w="1372" w:type="dxa"/>
            <w:noWrap/>
            <w:vAlign w:val="bottom"/>
          </w:tcPr>
          <w:p w14:paraId="2949B12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237 773,93 </w:t>
            </w:r>
          </w:p>
        </w:tc>
        <w:tc>
          <w:tcPr>
            <w:tcW w:w="1864" w:type="dxa"/>
            <w:noWrap/>
            <w:vAlign w:val="bottom"/>
          </w:tcPr>
          <w:p w14:paraId="732D57F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339,69 </w:t>
            </w:r>
          </w:p>
        </w:tc>
        <w:tc>
          <w:tcPr>
            <w:tcW w:w="1147" w:type="dxa"/>
            <w:noWrap/>
            <w:vAlign w:val="bottom"/>
          </w:tcPr>
          <w:p w14:paraId="0A83044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 </w:t>
            </w:r>
          </w:p>
        </w:tc>
      </w:tr>
      <w:tr w14:paraId="05C0F5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803" w:type="dxa"/>
            <w:noWrap/>
          </w:tcPr>
          <w:p w14:paraId="258E68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ru-RU" w:eastAsia="zh-CN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ru-RU" w:eastAsia="zh-CN"/>
              </w:rPr>
              <w:t>Здравохранение</w:t>
            </w:r>
            <w:r>
              <w:rPr>
                <w:rFonts w:hint="default" w:ascii="Times New Roman" w:hAnsi="Times New Roman" w:eastAsia="SimSun"/>
                <w:color w:val="000000"/>
                <w:sz w:val="20"/>
                <w:szCs w:val="20"/>
                <w:lang w:val="ru-RU" w:eastAsia="zh-CN"/>
              </w:rPr>
              <w:t xml:space="preserve"> </w:t>
            </w:r>
          </w:p>
        </w:tc>
        <w:tc>
          <w:tcPr>
            <w:tcW w:w="2408" w:type="dxa"/>
            <w:noWrap/>
            <w:vAlign w:val="bottom"/>
          </w:tcPr>
          <w:p w14:paraId="1A284BE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500,00 </w:t>
            </w:r>
          </w:p>
        </w:tc>
        <w:tc>
          <w:tcPr>
            <w:tcW w:w="1372" w:type="dxa"/>
            <w:noWrap/>
            <w:vAlign w:val="bottom"/>
          </w:tcPr>
          <w:p w14:paraId="2182B0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500,00 </w:t>
            </w:r>
          </w:p>
        </w:tc>
        <w:tc>
          <w:tcPr>
            <w:tcW w:w="1864" w:type="dxa"/>
            <w:noWrap/>
            <w:vAlign w:val="bottom"/>
          </w:tcPr>
          <w:p w14:paraId="7EB57D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7" w:type="dxa"/>
            <w:noWrap/>
            <w:vAlign w:val="bottom"/>
          </w:tcPr>
          <w:p w14:paraId="214C60B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100,0 </w:t>
            </w:r>
          </w:p>
        </w:tc>
      </w:tr>
      <w:tr w14:paraId="5B5424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2803" w:type="dxa"/>
            <w:noWrap/>
          </w:tcPr>
          <w:p w14:paraId="6100B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Социальная политика</w:t>
            </w:r>
          </w:p>
        </w:tc>
        <w:tc>
          <w:tcPr>
            <w:tcW w:w="2408" w:type="dxa"/>
            <w:noWrap/>
            <w:vAlign w:val="bottom"/>
          </w:tcPr>
          <w:p w14:paraId="3ACAA09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116 093,21 </w:t>
            </w:r>
          </w:p>
        </w:tc>
        <w:tc>
          <w:tcPr>
            <w:tcW w:w="1372" w:type="dxa"/>
            <w:noWrap/>
            <w:vAlign w:val="bottom"/>
          </w:tcPr>
          <w:p w14:paraId="091ABF3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116 693,21 </w:t>
            </w:r>
          </w:p>
        </w:tc>
        <w:tc>
          <w:tcPr>
            <w:tcW w:w="1864" w:type="dxa"/>
            <w:noWrap/>
            <w:vAlign w:val="bottom"/>
          </w:tcPr>
          <w:p w14:paraId="5ACBB9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600,00 </w:t>
            </w:r>
          </w:p>
        </w:tc>
        <w:tc>
          <w:tcPr>
            <w:tcW w:w="1147" w:type="dxa"/>
            <w:noWrap/>
            <w:vAlign w:val="bottom"/>
          </w:tcPr>
          <w:p w14:paraId="083D16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0,5 </w:t>
            </w:r>
          </w:p>
        </w:tc>
      </w:tr>
      <w:tr w14:paraId="2E4EA7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 w14:paraId="5FD36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 w:eastAsiaTheme="minorEastAsia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Физическая культура и спорт</w:t>
            </w:r>
          </w:p>
        </w:tc>
        <w:tc>
          <w:tcPr>
            <w:tcW w:w="2408" w:type="dxa"/>
            <w:noWrap/>
            <w:vAlign w:val="bottom"/>
          </w:tcPr>
          <w:p w14:paraId="7CE06E9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149 983,22 </w:t>
            </w:r>
          </w:p>
        </w:tc>
        <w:tc>
          <w:tcPr>
            <w:tcW w:w="1372" w:type="dxa"/>
            <w:noWrap/>
            <w:vAlign w:val="bottom"/>
          </w:tcPr>
          <w:p w14:paraId="61BF3C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150 682,22 </w:t>
            </w:r>
          </w:p>
        </w:tc>
        <w:tc>
          <w:tcPr>
            <w:tcW w:w="1864" w:type="dxa"/>
            <w:noWrap/>
            <w:vAlign w:val="bottom"/>
          </w:tcPr>
          <w:p w14:paraId="77BE22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699,00 </w:t>
            </w:r>
          </w:p>
        </w:tc>
        <w:tc>
          <w:tcPr>
            <w:tcW w:w="1147" w:type="dxa"/>
            <w:noWrap/>
            <w:vAlign w:val="bottom"/>
          </w:tcPr>
          <w:p w14:paraId="14EF83B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0,5 </w:t>
            </w:r>
          </w:p>
        </w:tc>
      </w:tr>
      <w:tr w14:paraId="0A46C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3" w:type="dxa"/>
            <w:noWrap/>
          </w:tcPr>
          <w:p w14:paraId="1676F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000000"/>
                <w:sz w:val="20"/>
                <w:szCs w:val="20"/>
                <w:lang w:val="en-US" w:eastAsia="zh-CN"/>
              </w:rPr>
              <w:t>Средства массовой информации</w:t>
            </w:r>
          </w:p>
        </w:tc>
        <w:tc>
          <w:tcPr>
            <w:tcW w:w="2408" w:type="dxa"/>
            <w:noWrap/>
            <w:vAlign w:val="bottom"/>
          </w:tcPr>
          <w:p w14:paraId="3EC6F19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8 029,28 </w:t>
            </w:r>
          </w:p>
        </w:tc>
        <w:tc>
          <w:tcPr>
            <w:tcW w:w="1372" w:type="dxa"/>
            <w:noWrap/>
            <w:vAlign w:val="bottom"/>
          </w:tcPr>
          <w:p w14:paraId="792AAD5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8 029,28 </w:t>
            </w:r>
          </w:p>
        </w:tc>
        <w:tc>
          <w:tcPr>
            <w:tcW w:w="1864" w:type="dxa"/>
            <w:noWrap/>
            <w:vAlign w:val="bottom"/>
          </w:tcPr>
          <w:p w14:paraId="7D37003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 </w:t>
            </w:r>
          </w:p>
        </w:tc>
        <w:tc>
          <w:tcPr>
            <w:tcW w:w="1147" w:type="dxa"/>
            <w:noWrap/>
            <w:vAlign w:val="bottom"/>
          </w:tcPr>
          <w:p w14:paraId="4660F2C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 </w:t>
            </w:r>
          </w:p>
        </w:tc>
      </w:tr>
      <w:tr w14:paraId="21B80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  <w:jc w:val="center"/>
        </w:trPr>
        <w:tc>
          <w:tcPr>
            <w:tcW w:w="2803" w:type="dxa"/>
            <w:noWrap/>
          </w:tcPr>
          <w:p w14:paraId="0DB54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top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eastAsia="SimSun"/>
                <w:b/>
                <w:bCs/>
                <w:color w:val="000000"/>
                <w:sz w:val="20"/>
                <w:szCs w:val="20"/>
                <w:lang w:val="en-US" w:eastAsia="zh-CN"/>
              </w:rPr>
              <w:t>Всего расходов</w:t>
            </w:r>
          </w:p>
        </w:tc>
        <w:tc>
          <w:tcPr>
            <w:tcW w:w="2408" w:type="dxa"/>
            <w:noWrap/>
            <w:vAlign w:val="bottom"/>
          </w:tcPr>
          <w:p w14:paraId="601F7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016 179,98 </w:t>
            </w:r>
          </w:p>
        </w:tc>
        <w:tc>
          <w:tcPr>
            <w:tcW w:w="1372" w:type="dxa"/>
            <w:noWrap/>
            <w:vAlign w:val="bottom"/>
          </w:tcPr>
          <w:p w14:paraId="4CB7E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037 055,88 </w:t>
            </w:r>
          </w:p>
        </w:tc>
        <w:tc>
          <w:tcPr>
            <w:tcW w:w="1864" w:type="dxa"/>
            <w:noWrap/>
            <w:vAlign w:val="bottom"/>
          </w:tcPr>
          <w:p w14:paraId="0FB4C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20 875,90 </w:t>
            </w:r>
          </w:p>
        </w:tc>
        <w:tc>
          <w:tcPr>
            <w:tcW w:w="1147" w:type="dxa"/>
            <w:noWrap/>
            <w:vAlign w:val="bottom"/>
          </w:tcPr>
          <w:p w14:paraId="43A9E2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bottom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0,5</w:t>
            </w:r>
          </w:p>
        </w:tc>
      </w:tr>
    </w:tbl>
    <w:p w14:paraId="43F8E81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В соответствии с рассматриваемым проектом решения предлагается изменить расходную часть бюджета на </w:t>
      </w:r>
      <w:r>
        <w:rPr>
          <w:rFonts w:hint="default" w:ascii="Times New Roman" w:hAnsi="Times New Roman"/>
          <w:sz w:val="26"/>
          <w:szCs w:val="26"/>
          <w:lang w:val="ru-RU"/>
        </w:rPr>
        <w:t>20 875,90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6"/>
          <w:szCs w:val="26"/>
          <w:u w:val="none"/>
          <w:lang w:val="en-US" w:eastAsia="zh-CN" w:bidi="ar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тыс. рублей, увеличив на сумму </w:t>
      </w:r>
      <w:r>
        <w:rPr>
          <w:rFonts w:hint="default" w:ascii="Times New Roman" w:hAnsi="Times New Roman" w:eastAsia="SimSun" w:cs="Times New Roman"/>
          <w:i w:val="0"/>
          <w:iCs w:val="0"/>
          <w:color w:val="000000"/>
          <w:kern w:val="0"/>
          <w:sz w:val="26"/>
          <w:szCs w:val="26"/>
          <w:u w:val="none"/>
          <w:lang w:val="ru-RU" w:eastAsia="zh-CN" w:bidi="ar"/>
        </w:rPr>
        <w:t>26 720,10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тыс. рублей, сократив на сумму </w:t>
      </w:r>
      <w:r>
        <w:rPr>
          <w:rFonts w:hint="default" w:ascii="Times New Roman" w:hAnsi="Times New Roman"/>
          <w:sz w:val="26"/>
          <w:szCs w:val="26"/>
          <w:lang w:val="ru-RU"/>
        </w:rPr>
        <w:t>5 844,20</w:t>
      </w:r>
      <w:r>
        <w:rPr>
          <w:rFonts w:ascii="Times New Roman" w:hAnsi="Times New Roman"/>
          <w:sz w:val="26"/>
          <w:szCs w:val="26"/>
        </w:rPr>
        <w:t xml:space="preserve"> тыс. рублей.</w:t>
      </w:r>
    </w:p>
    <w:p w14:paraId="5E3DDD7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Информация об изменениях финансового обеспечения муниципальных программ Богородского муниципального округа Нижегородской области на 2026 год представлена в таблице.</w:t>
      </w:r>
    </w:p>
    <w:p w14:paraId="6F65FF7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тыс. рублей</w:t>
      </w:r>
    </w:p>
    <w:tbl>
      <w:tblPr>
        <w:tblStyle w:val="3"/>
        <w:tblW w:w="97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45"/>
        <w:gridCol w:w="4361"/>
        <w:gridCol w:w="1547"/>
        <w:gridCol w:w="1288"/>
        <w:gridCol w:w="1276"/>
        <w:gridCol w:w="808"/>
      </w:tblGrid>
      <w:tr w14:paraId="14AB53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33" w:hRule="atLeast"/>
        </w:trPr>
        <w:tc>
          <w:tcPr>
            <w:tcW w:w="445" w:type="dxa"/>
            <w:noWrap/>
            <w:vAlign w:val="center"/>
          </w:tcPr>
          <w:p w14:paraId="16400DA6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</w:pPr>
          </w:p>
        </w:tc>
        <w:tc>
          <w:tcPr>
            <w:tcW w:w="4361" w:type="dxa"/>
            <w:noWrap/>
            <w:vAlign w:val="center"/>
          </w:tcPr>
          <w:p w14:paraId="62FF73B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547" w:type="dxa"/>
            <w:noWrap/>
            <w:vAlign w:val="center"/>
          </w:tcPr>
          <w:p w14:paraId="06AD51C5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</w:rPr>
              <w:t xml:space="preserve">Решение от </w:t>
            </w: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11</w:t>
            </w:r>
            <w:r>
              <w:rPr>
                <w:rFonts w:ascii="Times New Roman" w:hAnsi="Times New Roman"/>
                <w:color w:val="auto"/>
                <w:sz w:val="20"/>
                <w:szCs w:val="20"/>
              </w:rPr>
              <w:t>.12.2025 № 1</w:t>
            </w: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>48</w:t>
            </w: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 (в редакции решения от </w:t>
            </w:r>
            <w:r>
              <w:rPr>
                <w:rFonts w:hint="default" w:ascii="Times New Roman" w:hAnsi="Times New Roman"/>
                <w:bCs/>
                <w:color w:val="auto"/>
                <w:sz w:val="18"/>
                <w:szCs w:val="18"/>
                <w:lang w:val="ru-RU"/>
              </w:rPr>
              <w:t>30.04</w:t>
            </w: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.202</w:t>
            </w:r>
            <w:r>
              <w:rPr>
                <w:rFonts w:hint="default" w:ascii="Times New Roman" w:hAnsi="Times New Roman"/>
                <w:bCs/>
                <w:color w:val="auto"/>
                <w:sz w:val="18"/>
                <w:szCs w:val="18"/>
                <w:lang w:val="ru-RU"/>
              </w:rPr>
              <w:t>6</w:t>
            </w: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 xml:space="preserve"> № </w:t>
            </w:r>
            <w:r>
              <w:rPr>
                <w:rFonts w:hint="default" w:ascii="Times New Roman" w:hAnsi="Times New Roman"/>
                <w:bCs/>
                <w:color w:val="auto"/>
                <w:sz w:val="18"/>
                <w:szCs w:val="18"/>
                <w:lang w:val="ru-RU"/>
              </w:rPr>
              <w:t>36</w:t>
            </w:r>
            <w:r>
              <w:rPr>
                <w:rFonts w:ascii="Times New Roman" w:hAnsi="Times New Roman"/>
                <w:bCs/>
                <w:color w:val="auto"/>
                <w:sz w:val="18"/>
                <w:szCs w:val="18"/>
              </w:rPr>
              <w:t>)</w:t>
            </w:r>
            <w:r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288" w:type="dxa"/>
            <w:noWrap/>
            <w:vAlign w:val="center"/>
          </w:tcPr>
          <w:p w14:paraId="03105E19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Проект решения</w:t>
            </w:r>
          </w:p>
        </w:tc>
        <w:tc>
          <w:tcPr>
            <w:tcW w:w="1276" w:type="dxa"/>
            <w:noWrap/>
            <w:vAlign w:val="center"/>
          </w:tcPr>
          <w:p w14:paraId="39F9DE14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Изменения к утвержденному решению</w:t>
            </w:r>
          </w:p>
        </w:tc>
        <w:tc>
          <w:tcPr>
            <w:tcW w:w="808" w:type="dxa"/>
            <w:noWrap/>
            <w:vAlign w:val="center"/>
          </w:tcPr>
          <w:p w14:paraId="3E35266D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Theme="minorEastAsia"/>
                <w:color w:val="auto"/>
                <w:sz w:val="20"/>
                <w:szCs w:val="20"/>
              </w:rPr>
              <w:t>% изменения</w:t>
            </w:r>
          </w:p>
        </w:tc>
      </w:tr>
      <w:tr w14:paraId="335EA5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83" w:hRule="atLeast"/>
        </w:trPr>
        <w:tc>
          <w:tcPr>
            <w:tcW w:w="445" w:type="dxa"/>
            <w:noWrap/>
            <w:vAlign w:val="center"/>
          </w:tcPr>
          <w:p w14:paraId="6429EA3A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</w:t>
            </w:r>
          </w:p>
        </w:tc>
        <w:tc>
          <w:tcPr>
            <w:tcW w:w="4361" w:type="dxa"/>
            <w:noWrap/>
            <w:vAlign w:val="center"/>
          </w:tcPr>
          <w:p w14:paraId="6D40F100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образования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03FC454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928 131,86</w:t>
            </w:r>
          </w:p>
        </w:tc>
        <w:tc>
          <w:tcPr>
            <w:tcW w:w="1288" w:type="dxa"/>
            <w:noWrap/>
            <w:vAlign w:val="center"/>
          </w:tcPr>
          <w:p w14:paraId="1957EFA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929 367,11</w:t>
            </w:r>
          </w:p>
        </w:tc>
        <w:tc>
          <w:tcPr>
            <w:tcW w:w="1276" w:type="dxa"/>
            <w:noWrap/>
            <w:vAlign w:val="center"/>
          </w:tcPr>
          <w:p w14:paraId="5761DF0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1 235,25</w:t>
            </w:r>
          </w:p>
        </w:tc>
        <w:tc>
          <w:tcPr>
            <w:tcW w:w="808" w:type="dxa"/>
            <w:noWrap/>
            <w:vAlign w:val="center"/>
          </w:tcPr>
          <w:p w14:paraId="5A92396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1</w:t>
            </w:r>
          </w:p>
        </w:tc>
      </w:tr>
      <w:tr w14:paraId="5157D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</w:trPr>
        <w:tc>
          <w:tcPr>
            <w:tcW w:w="445" w:type="dxa"/>
            <w:noWrap/>
            <w:vAlign w:val="center"/>
          </w:tcPr>
          <w:p w14:paraId="37FF8A9F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2</w:t>
            </w:r>
          </w:p>
        </w:tc>
        <w:tc>
          <w:tcPr>
            <w:tcW w:w="4361" w:type="dxa"/>
            <w:noWrap/>
            <w:vAlign w:val="center"/>
          </w:tcPr>
          <w:p w14:paraId="0C72AD5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«Социальная поддержка граждан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084F2B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29 419,85</w:t>
            </w:r>
          </w:p>
        </w:tc>
        <w:tc>
          <w:tcPr>
            <w:tcW w:w="1288" w:type="dxa"/>
            <w:noWrap/>
            <w:vAlign w:val="center"/>
          </w:tcPr>
          <w:p w14:paraId="5BDAAF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30 003,02</w:t>
            </w:r>
          </w:p>
        </w:tc>
        <w:tc>
          <w:tcPr>
            <w:tcW w:w="1276" w:type="dxa"/>
            <w:noWrap/>
            <w:vAlign w:val="center"/>
          </w:tcPr>
          <w:p w14:paraId="4CE50CE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583,17</w:t>
            </w:r>
          </w:p>
        </w:tc>
        <w:tc>
          <w:tcPr>
            <w:tcW w:w="808" w:type="dxa"/>
            <w:noWrap/>
            <w:vAlign w:val="center"/>
          </w:tcPr>
          <w:p w14:paraId="4120C3A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2,0</w:t>
            </w:r>
          </w:p>
        </w:tc>
      </w:tr>
      <w:tr w14:paraId="6EB78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5" w:type="dxa"/>
            <w:noWrap/>
            <w:vAlign w:val="center"/>
          </w:tcPr>
          <w:p w14:paraId="40F4132B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3</w:t>
            </w:r>
          </w:p>
        </w:tc>
        <w:tc>
          <w:tcPr>
            <w:tcW w:w="4361" w:type="dxa"/>
            <w:noWrap/>
            <w:vAlign w:val="center"/>
          </w:tcPr>
          <w:p w14:paraId="33B2CBB0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«Обеспечение населения Богородского муниципального округа Нижегородской области доступным и комфортным жильем»</w:t>
            </w:r>
          </w:p>
        </w:tc>
        <w:tc>
          <w:tcPr>
            <w:tcW w:w="1547" w:type="dxa"/>
            <w:noWrap/>
            <w:vAlign w:val="center"/>
          </w:tcPr>
          <w:p w14:paraId="59D940B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70 721,89</w:t>
            </w:r>
          </w:p>
        </w:tc>
        <w:tc>
          <w:tcPr>
            <w:tcW w:w="1288" w:type="dxa"/>
            <w:noWrap/>
            <w:vAlign w:val="center"/>
          </w:tcPr>
          <w:p w14:paraId="2AAD404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69 731,58</w:t>
            </w:r>
          </w:p>
        </w:tc>
        <w:tc>
          <w:tcPr>
            <w:tcW w:w="1276" w:type="dxa"/>
            <w:noWrap/>
            <w:vAlign w:val="center"/>
          </w:tcPr>
          <w:p w14:paraId="0F367A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990,31</w:t>
            </w:r>
          </w:p>
        </w:tc>
        <w:tc>
          <w:tcPr>
            <w:tcW w:w="808" w:type="dxa"/>
            <w:noWrap/>
            <w:vAlign w:val="center"/>
          </w:tcPr>
          <w:p w14:paraId="2F07C6C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1,4</w:t>
            </w:r>
          </w:p>
        </w:tc>
      </w:tr>
      <w:tr w14:paraId="651C0C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5" w:type="dxa"/>
            <w:noWrap/>
            <w:vAlign w:val="center"/>
          </w:tcPr>
          <w:p w14:paraId="5576F914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4</w:t>
            </w:r>
          </w:p>
        </w:tc>
        <w:tc>
          <w:tcPr>
            <w:tcW w:w="4361" w:type="dxa"/>
            <w:noWrap/>
            <w:vAlign w:val="center"/>
          </w:tcPr>
          <w:p w14:paraId="794C733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культуры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461236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302 498,32</w:t>
            </w:r>
          </w:p>
        </w:tc>
        <w:tc>
          <w:tcPr>
            <w:tcW w:w="1288" w:type="dxa"/>
            <w:noWrap/>
            <w:vAlign w:val="center"/>
          </w:tcPr>
          <w:p w14:paraId="55841F6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302 870,00</w:t>
            </w:r>
          </w:p>
        </w:tc>
        <w:tc>
          <w:tcPr>
            <w:tcW w:w="1276" w:type="dxa"/>
            <w:noWrap/>
            <w:vAlign w:val="center"/>
          </w:tcPr>
          <w:p w14:paraId="01446A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371,68</w:t>
            </w:r>
          </w:p>
        </w:tc>
        <w:tc>
          <w:tcPr>
            <w:tcW w:w="808" w:type="dxa"/>
            <w:noWrap/>
            <w:vAlign w:val="center"/>
          </w:tcPr>
          <w:p w14:paraId="3B12FC9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0,1</w:t>
            </w:r>
          </w:p>
        </w:tc>
      </w:tr>
      <w:tr w14:paraId="5F908F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5" w:type="dxa"/>
            <w:noWrap/>
            <w:vAlign w:val="center"/>
          </w:tcPr>
          <w:p w14:paraId="5D232625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5</w:t>
            </w:r>
          </w:p>
        </w:tc>
        <w:tc>
          <w:tcPr>
            <w:tcW w:w="4361" w:type="dxa"/>
            <w:noWrap/>
            <w:vAlign w:val="center"/>
          </w:tcPr>
          <w:p w14:paraId="4171E818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физической культуры и спорта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709761A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139 395,42</w:t>
            </w:r>
          </w:p>
        </w:tc>
        <w:tc>
          <w:tcPr>
            <w:tcW w:w="1288" w:type="dxa"/>
            <w:noWrap/>
            <w:vAlign w:val="center"/>
          </w:tcPr>
          <w:p w14:paraId="6A03406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140 094,42</w:t>
            </w:r>
          </w:p>
        </w:tc>
        <w:tc>
          <w:tcPr>
            <w:tcW w:w="1276" w:type="dxa"/>
            <w:noWrap/>
            <w:vAlign w:val="center"/>
          </w:tcPr>
          <w:p w14:paraId="11CD99E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699,00</w:t>
            </w:r>
          </w:p>
        </w:tc>
        <w:tc>
          <w:tcPr>
            <w:tcW w:w="808" w:type="dxa"/>
            <w:noWrap/>
            <w:vAlign w:val="center"/>
          </w:tcPr>
          <w:p w14:paraId="13B2758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0,5</w:t>
            </w:r>
          </w:p>
        </w:tc>
      </w:tr>
      <w:tr w14:paraId="0768EA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5" w:type="dxa"/>
            <w:noWrap/>
            <w:vAlign w:val="center"/>
          </w:tcPr>
          <w:p w14:paraId="4CCCA6B3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6</w:t>
            </w:r>
          </w:p>
        </w:tc>
        <w:tc>
          <w:tcPr>
            <w:tcW w:w="4361" w:type="dxa"/>
            <w:noWrap/>
            <w:vAlign w:val="center"/>
          </w:tcPr>
          <w:p w14:paraId="61D6C0F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агропромышленного комплекса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69445A5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27 987,51</w:t>
            </w:r>
          </w:p>
        </w:tc>
        <w:tc>
          <w:tcPr>
            <w:tcW w:w="1288" w:type="dxa"/>
            <w:noWrap/>
            <w:vAlign w:val="center"/>
          </w:tcPr>
          <w:p w14:paraId="232B19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24 907,65</w:t>
            </w:r>
          </w:p>
        </w:tc>
        <w:tc>
          <w:tcPr>
            <w:tcW w:w="1276" w:type="dxa"/>
            <w:noWrap/>
            <w:vAlign w:val="center"/>
          </w:tcPr>
          <w:p w14:paraId="158AC0D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3 079,86</w:t>
            </w:r>
          </w:p>
        </w:tc>
        <w:tc>
          <w:tcPr>
            <w:tcW w:w="808" w:type="dxa"/>
            <w:noWrap/>
            <w:vAlign w:val="center"/>
          </w:tcPr>
          <w:p w14:paraId="07A130F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11,0</w:t>
            </w:r>
          </w:p>
        </w:tc>
      </w:tr>
      <w:tr w14:paraId="412EF2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5" w:type="dxa"/>
            <w:noWrap/>
            <w:vAlign w:val="center"/>
          </w:tcPr>
          <w:p w14:paraId="3FD8C89B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7</w:t>
            </w:r>
          </w:p>
        </w:tc>
        <w:tc>
          <w:tcPr>
            <w:tcW w:w="4361" w:type="dxa"/>
            <w:noWrap/>
            <w:vAlign w:val="center"/>
          </w:tcPr>
          <w:p w14:paraId="1691824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«Управление муниципальными финансами и муниципальным долгом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3E76E6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98 438,73</w:t>
            </w:r>
          </w:p>
        </w:tc>
        <w:tc>
          <w:tcPr>
            <w:tcW w:w="1288" w:type="dxa"/>
            <w:noWrap/>
            <w:vAlign w:val="center"/>
          </w:tcPr>
          <w:p w14:paraId="03C339C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96 251,75</w:t>
            </w:r>
          </w:p>
        </w:tc>
        <w:tc>
          <w:tcPr>
            <w:tcW w:w="1276" w:type="dxa"/>
            <w:noWrap/>
            <w:vAlign w:val="center"/>
          </w:tcPr>
          <w:p w14:paraId="142ACF7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2 186,98</w:t>
            </w:r>
          </w:p>
        </w:tc>
        <w:tc>
          <w:tcPr>
            <w:tcW w:w="808" w:type="dxa"/>
            <w:noWrap/>
            <w:vAlign w:val="center"/>
          </w:tcPr>
          <w:p w14:paraId="457B92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2,2</w:t>
            </w:r>
          </w:p>
        </w:tc>
      </w:tr>
      <w:tr w14:paraId="6898C4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5" w:type="dxa"/>
            <w:noWrap/>
            <w:vAlign w:val="center"/>
          </w:tcPr>
          <w:p w14:paraId="7A143DDD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8</w:t>
            </w:r>
          </w:p>
        </w:tc>
        <w:tc>
          <w:tcPr>
            <w:tcW w:w="4361" w:type="dxa"/>
            <w:noWrap/>
            <w:vAlign w:val="center"/>
          </w:tcPr>
          <w:p w14:paraId="5A5A3391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«Управление муниципальным имуществом и земельными ресурсами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056C0D4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46 997,55</w:t>
            </w:r>
          </w:p>
        </w:tc>
        <w:tc>
          <w:tcPr>
            <w:tcW w:w="1288" w:type="dxa"/>
            <w:noWrap/>
            <w:vAlign w:val="center"/>
          </w:tcPr>
          <w:p w14:paraId="67D873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47 246,14</w:t>
            </w:r>
          </w:p>
        </w:tc>
        <w:tc>
          <w:tcPr>
            <w:tcW w:w="1276" w:type="dxa"/>
            <w:noWrap/>
            <w:vAlign w:val="center"/>
          </w:tcPr>
          <w:p w14:paraId="01B60A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248,59</w:t>
            </w:r>
          </w:p>
        </w:tc>
        <w:tc>
          <w:tcPr>
            <w:tcW w:w="808" w:type="dxa"/>
            <w:noWrap/>
            <w:vAlign w:val="center"/>
          </w:tcPr>
          <w:p w14:paraId="20069F1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0,5</w:t>
            </w:r>
          </w:p>
        </w:tc>
      </w:tr>
      <w:tr w14:paraId="03657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5" w:type="dxa"/>
            <w:noWrap/>
            <w:vAlign w:val="center"/>
          </w:tcPr>
          <w:p w14:paraId="202DDF8C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9</w:t>
            </w:r>
          </w:p>
        </w:tc>
        <w:tc>
          <w:tcPr>
            <w:tcW w:w="4361" w:type="dxa"/>
            <w:noWrap/>
            <w:vAlign w:val="center"/>
          </w:tcPr>
          <w:p w14:paraId="61BCC00F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«Содействие развитию субъектов малого и среднего предпринимательства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03E11D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1 150,20</w:t>
            </w:r>
          </w:p>
        </w:tc>
        <w:tc>
          <w:tcPr>
            <w:tcW w:w="1288" w:type="dxa"/>
            <w:noWrap/>
            <w:vAlign w:val="center"/>
          </w:tcPr>
          <w:p w14:paraId="1013DBE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1 150,20</w:t>
            </w:r>
          </w:p>
        </w:tc>
        <w:tc>
          <w:tcPr>
            <w:tcW w:w="1276" w:type="dxa"/>
            <w:noWrap/>
            <w:vAlign w:val="center"/>
          </w:tcPr>
          <w:p w14:paraId="273B92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08" w:type="dxa"/>
            <w:noWrap/>
            <w:vAlign w:val="center"/>
          </w:tcPr>
          <w:p w14:paraId="695219D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</w:t>
            </w:r>
          </w:p>
        </w:tc>
      </w:tr>
      <w:tr w14:paraId="168844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5" w:type="dxa"/>
            <w:noWrap/>
            <w:vAlign w:val="center"/>
          </w:tcPr>
          <w:p w14:paraId="7020BC03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10</w:t>
            </w:r>
          </w:p>
        </w:tc>
        <w:tc>
          <w:tcPr>
            <w:tcW w:w="4361" w:type="dxa"/>
            <w:noWrap/>
            <w:vAlign w:val="center"/>
          </w:tcPr>
          <w:p w14:paraId="0B4437F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дорожного хозяйства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2828F9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212 325,98</w:t>
            </w:r>
          </w:p>
        </w:tc>
        <w:tc>
          <w:tcPr>
            <w:tcW w:w="1288" w:type="dxa"/>
            <w:noWrap/>
            <w:vAlign w:val="center"/>
          </w:tcPr>
          <w:p w14:paraId="64603D31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228 598,34</w:t>
            </w:r>
          </w:p>
        </w:tc>
        <w:tc>
          <w:tcPr>
            <w:tcW w:w="1276" w:type="dxa"/>
            <w:noWrap/>
            <w:vAlign w:val="center"/>
          </w:tcPr>
          <w:p w14:paraId="3B0FEF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16 272,36</w:t>
            </w:r>
          </w:p>
        </w:tc>
        <w:tc>
          <w:tcPr>
            <w:tcW w:w="808" w:type="dxa"/>
            <w:noWrap/>
            <w:vAlign w:val="center"/>
          </w:tcPr>
          <w:p w14:paraId="7E1C01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7,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7</w:t>
            </w:r>
          </w:p>
        </w:tc>
      </w:tr>
      <w:tr w14:paraId="09562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90" w:hRule="atLeast"/>
        </w:trPr>
        <w:tc>
          <w:tcPr>
            <w:tcW w:w="445" w:type="dxa"/>
            <w:noWrap/>
            <w:vAlign w:val="center"/>
          </w:tcPr>
          <w:p w14:paraId="177F59D8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11</w:t>
            </w:r>
          </w:p>
        </w:tc>
        <w:tc>
          <w:tcPr>
            <w:tcW w:w="4361" w:type="dxa"/>
            <w:noWrap/>
            <w:vAlign w:val="center"/>
          </w:tcPr>
          <w:p w14:paraId="7EFD7346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«Обеспечение населения Богородского муниципального округа Нижегородской области качественными услугами в сфере жилищно-коммунального хозяйства»</w:t>
            </w:r>
          </w:p>
        </w:tc>
        <w:tc>
          <w:tcPr>
            <w:tcW w:w="1547" w:type="dxa"/>
            <w:noWrap/>
            <w:vAlign w:val="center"/>
          </w:tcPr>
          <w:p w14:paraId="1673D2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363 667,34</w:t>
            </w:r>
          </w:p>
        </w:tc>
        <w:tc>
          <w:tcPr>
            <w:tcW w:w="1288" w:type="dxa"/>
            <w:noWrap/>
            <w:vAlign w:val="center"/>
          </w:tcPr>
          <w:p w14:paraId="378783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369 246,11</w:t>
            </w:r>
          </w:p>
        </w:tc>
        <w:tc>
          <w:tcPr>
            <w:tcW w:w="1276" w:type="dxa"/>
            <w:noWrap/>
            <w:vAlign w:val="center"/>
          </w:tcPr>
          <w:p w14:paraId="646F59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  <w:highlight w:val="yellow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5 578,77</w:t>
            </w:r>
          </w:p>
        </w:tc>
        <w:tc>
          <w:tcPr>
            <w:tcW w:w="808" w:type="dxa"/>
            <w:noWrap/>
            <w:vAlign w:val="center"/>
          </w:tcPr>
          <w:p w14:paraId="0073B88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1,5</w:t>
            </w:r>
          </w:p>
        </w:tc>
      </w:tr>
      <w:tr w14:paraId="3E1C15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5" w:type="dxa"/>
            <w:noWrap/>
            <w:vAlign w:val="center"/>
          </w:tcPr>
          <w:p w14:paraId="6F892737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12</w:t>
            </w:r>
          </w:p>
        </w:tc>
        <w:tc>
          <w:tcPr>
            <w:tcW w:w="4361" w:type="dxa"/>
            <w:noWrap/>
            <w:vAlign w:val="center"/>
          </w:tcPr>
          <w:p w14:paraId="69B152D7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«Обеспечение безопасности жизнедеятельности населения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5BF7996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95 885,61</w:t>
            </w:r>
          </w:p>
        </w:tc>
        <w:tc>
          <w:tcPr>
            <w:tcW w:w="1288" w:type="dxa"/>
            <w:noWrap/>
            <w:vAlign w:val="center"/>
          </w:tcPr>
          <w:p w14:paraId="12CEC4A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97 504,77</w:t>
            </w:r>
          </w:p>
        </w:tc>
        <w:tc>
          <w:tcPr>
            <w:tcW w:w="1276" w:type="dxa"/>
            <w:noWrap/>
            <w:vAlign w:val="center"/>
          </w:tcPr>
          <w:p w14:paraId="2D0E244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1 619,16</w:t>
            </w:r>
          </w:p>
        </w:tc>
        <w:tc>
          <w:tcPr>
            <w:tcW w:w="808" w:type="dxa"/>
            <w:noWrap/>
            <w:vAlign w:val="center"/>
          </w:tcPr>
          <w:p w14:paraId="3CDE473F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1,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7</w:t>
            </w:r>
          </w:p>
        </w:tc>
      </w:tr>
      <w:tr w14:paraId="301FCF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5" w:type="dxa"/>
            <w:noWrap/>
            <w:vAlign w:val="center"/>
          </w:tcPr>
          <w:p w14:paraId="25FD0D7D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13</w:t>
            </w:r>
          </w:p>
        </w:tc>
        <w:tc>
          <w:tcPr>
            <w:tcW w:w="4361" w:type="dxa"/>
            <w:noWrap/>
            <w:vAlign w:val="center"/>
          </w:tcPr>
          <w:p w14:paraId="30FB3D4D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«Информационное общество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78BC1E5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26 767,61</w:t>
            </w:r>
          </w:p>
        </w:tc>
        <w:tc>
          <w:tcPr>
            <w:tcW w:w="1288" w:type="dxa"/>
            <w:noWrap/>
            <w:vAlign w:val="center"/>
          </w:tcPr>
          <w:p w14:paraId="3769D28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26 767,61</w:t>
            </w:r>
          </w:p>
        </w:tc>
        <w:tc>
          <w:tcPr>
            <w:tcW w:w="1276" w:type="dxa"/>
            <w:noWrap/>
            <w:vAlign w:val="center"/>
          </w:tcPr>
          <w:p w14:paraId="18123F8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08" w:type="dxa"/>
            <w:noWrap/>
            <w:vAlign w:val="center"/>
          </w:tcPr>
          <w:p w14:paraId="0CD54F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</w:t>
            </w:r>
          </w:p>
        </w:tc>
      </w:tr>
      <w:tr w14:paraId="3CB426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5" w:type="dxa"/>
            <w:noWrap/>
            <w:vAlign w:val="center"/>
          </w:tcPr>
          <w:p w14:paraId="02CD7A2E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14</w:t>
            </w:r>
          </w:p>
        </w:tc>
        <w:tc>
          <w:tcPr>
            <w:tcW w:w="4361" w:type="dxa"/>
            <w:noWrap/>
            <w:vAlign w:val="center"/>
          </w:tcPr>
          <w:p w14:paraId="7FE089AC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«Развитие муниципальной службы в Богородском муниципальном округе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457904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179 779,47</w:t>
            </w:r>
          </w:p>
        </w:tc>
        <w:tc>
          <w:tcPr>
            <w:tcW w:w="1288" w:type="dxa"/>
            <w:noWrap/>
            <w:vAlign w:val="center"/>
          </w:tcPr>
          <w:p w14:paraId="0FE2EBB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173 866,22</w:t>
            </w:r>
          </w:p>
        </w:tc>
        <w:tc>
          <w:tcPr>
            <w:tcW w:w="1276" w:type="dxa"/>
            <w:noWrap/>
            <w:vAlign w:val="center"/>
          </w:tcPr>
          <w:p w14:paraId="59F022C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5 913,25</w:t>
            </w:r>
          </w:p>
        </w:tc>
        <w:tc>
          <w:tcPr>
            <w:tcW w:w="808" w:type="dxa"/>
            <w:noWrap/>
            <w:vAlign w:val="center"/>
          </w:tcPr>
          <w:p w14:paraId="7DF179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-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3,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>3</w:t>
            </w:r>
          </w:p>
        </w:tc>
      </w:tr>
      <w:tr w14:paraId="613A3A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1" w:hRule="atLeast"/>
        </w:trPr>
        <w:tc>
          <w:tcPr>
            <w:tcW w:w="445" w:type="dxa"/>
            <w:noWrap/>
            <w:vAlign w:val="center"/>
          </w:tcPr>
          <w:p w14:paraId="1A833F82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15</w:t>
            </w:r>
          </w:p>
        </w:tc>
        <w:tc>
          <w:tcPr>
            <w:tcW w:w="4361" w:type="dxa"/>
            <w:noWrap/>
            <w:vAlign w:val="center"/>
          </w:tcPr>
          <w:p w14:paraId="1ACB98D2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«Формирование комфортной городской среды на территории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7F5F68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240 178,88</w:t>
            </w:r>
          </w:p>
        </w:tc>
        <w:tc>
          <w:tcPr>
            <w:tcW w:w="1288" w:type="dxa"/>
            <w:noWrap/>
            <w:vAlign w:val="center"/>
          </w:tcPr>
          <w:p w14:paraId="6FDA91A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240 178,88</w:t>
            </w:r>
          </w:p>
        </w:tc>
        <w:tc>
          <w:tcPr>
            <w:tcW w:w="1276" w:type="dxa"/>
            <w:noWrap/>
            <w:vAlign w:val="center"/>
          </w:tcPr>
          <w:p w14:paraId="4D5B0A3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08" w:type="dxa"/>
            <w:noWrap/>
            <w:vAlign w:val="center"/>
          </w:tcPr>
          <w:p w14:paraId="2C1C80B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</w:t>
            </w:r>
          </w:p>
        </w:tc>
      </w:tr>
      <w:tr w14:paraId="334E5D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5" w:type="dxa"/>
            <w:noWrap/>
            <w:vAlign w:val="center"/>
          </w:tcPr>
          <w:p w14:paraId="38572317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16</w:t>
            </w:r>
          </w:p>
        </w:tc>
        <w:tc>
          <w:tcPr>
            <w:tcW w:w="4361" w:type="dxa"/>
            <w:noWrap/>
            <w:vAlign w:val="center"/>
          </w:tcPr>
          <w:p w14:paraId="2A1A6168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«Улучшение качества жизни и обеспечение безопасности жителей Богородского муниципального округа Нижегородской области»</w:t>
            </w:r>
          </w:p>
        </w:tc>
        <w:tc>
          <w:tcPr>
            <w:tcW w:w="1547" w:type="dxa"/>
            <w:noWrap/>
            <w:vAlign w:val="center"/>
          </w:tcPr>
          <w:p w14:paraId="3F354F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210 460,09</w:t>
            </w:r>
          </w:p>
        </w:tc>
        <w:tc>
          <w:tcPr>
            <w:tcW w:w="1288" w:type="dxa"/>
            <w:noWrap/>
            <w:vAlign w:val="center"/>
          </w:tcPr>
          <w:p w14:paraId="1291A6F3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215 748,07</w:t>
            </w:r>
          </w:p>
        </w:tc>
        <w:tc>
          <w:tcPr>
            <w:tcW w:w="1276" w:type="dxa"/>
            <w:noWrap/>
            <w:vAlign w:val="center"/>
          </w:tcPr>
          <w:p w14:paraId="7DB226C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5 287,98</w:t>
            </w:r>
          </w:p>
        </w:tc>
        <w:tc>
          <w:tcPr>
            <w:tcW w:w="808" w:type="dxa"/>
            <w:noWrap/>
            <w:vAlign w:val="center"/>
          </w:tcPr>
          <w:p w14:paraId="3094FEA4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hint="default" w:ascii="Times New Roman" w:hAnsi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2,5</w:t>
            </w:r>
          </w:p>
        </w:tc>
      </w:tr>
      <w:tr w14:paraId="6B8ED0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5" w:type="dxa"/>
            <w:noWrap/>
            <w:vAlign w:val="center"/>
          </w:tcPr>
          <w:p w14:paraId="5B620A7B">
            <w:pPr>
              <w:spacing w:after="0" w:line="240" w:lineRule="auto"/>
              <w:jc w:val="center"/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</w:pPr>
            <w:r>
              <w:rPr>
                <w:rFonts w:hint="default" w:ascii="Times New Roman" w:hAnsi="Times New Roman" w:eastAsia="SimSun"/>
                <w:color w:val="auto"/>
                <w:sz w:val="20"/>
                <w:szCs w:val="20"/>
                <w:lang w:val="ru-RU" w:eastAsia="zh-CN"/>
              </w:rPr>
              <w:t>17</w:t>
            </w:r>
          </w:p>
        </w:tc>
        <w:tc>
          <w:tcPr>
            <w:tcW w:w="4361" w:type="dxa"/>
            <w:noWrap/>
            <w:vAlign w:val="center"/>
          </w:tcPr>
          <w:p w14:paraId="5D9CE57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color w:val="auto"/>
                <w:sz w:val="20"/>
                <w:szCs w:val="20"/>
                <w:lang w:eastAsia="zh-CN"/>
              </w:rPr>
              <w:t>«Энергосбережение и повышение энергетической эффективности в организациях с участием муниципального образования Богородский муниципальный округ»</w:t>
            </w:r>
          </w:p>
        </w:tc>
        <w:tc>
          <w:tcPr>
            <w:tcW w:w="1547" w:type="dxa"/>
            <w:noWrap/>
            <w:vAlign w:val="center"/>
          </w:tcPr>
          <w:p w14:paraId="01E0F1D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30,00</w:t>
            </w:r>
          </w:p>
        </w:tc>
        <w:tc>
          <w:tcPr>
            <w:tcW w:w="1288" w:type="dxa"/>
            <w:noWrap/>
            <w:vAlign w:val="center"/>
          </w:tcPr>
          <w:p w14:paraId="44083F4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30,00</w:t>
            </w:r>
          </w:p>
        </w:tc>
        <w:tc>
          <w:tcPr>
            <w:tcW w:w="1276" w:type="dxa"/>
            <w:noWrap/>
            <w:vAlign w:val="center"/>
          </w:tcPr>
          <w:p w14:paraId="62C2C86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0,00</w:t>
            </w:r>
          </w:p>
        </w:tc>
        <w:tc>
          <w:tcPr>
            <w:tcW w:w="808" w:type="dxa"/>
            <w:noWrap/>
            <w:vAlign w:val="center"/>
          </w:tcPr>
          <w:p w14:paraId="32E9C73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0,0</w:t>
            </w:r>
          </w:p>
        </w:tc>
      </w:tr>
      <w:tr w14:paraId="26132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53" w:hRule="atLeast"/>
        </w:trPr>
        <w:tc>
          <w:tcPr>
            <w:tcW w:w="445" w:type="dxa"/>
            <w:noWrap/>
          </w:tcPr>
          <w:p w14:paraId="1459245F">
            <w:pPr>
              <w:spacing w:after="0" w:line="240" w:lineRule="auto"/>
              <w:jc w:val="center"/>
              <w:rPr>
                <w:rFonts w:ascii="Times New Roman" w:hAnsi="Times New Roman" w:eastAsia="SimSun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4361" w:type="dxa"/>
            <w:noWrap/>
          </w:tcPr>
          <w:p w14:paraId="01296797">
            <w:pPr>
              <w:spacing w:after="0" w:line="240" w:lineRule="auto"/>
              <w:ind w:firstLine="100" w:firstLineChars="50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SimSun"/>
                <w:b/>
                <w:bCs/>
                <w:color w:val="auto"/>
                <w:sz w:val="20"/>
                <w:szCs w:val="20"/>
                <w:lang w:val="en-US" w:eastAsia="zh-CN"/>
              </w:rPr>
              <w:t>Всего:</w:t>
            </w:r>
          </w:p>
        </w:tc>
        <w:tc>
          <w:tcPr>
            <w:tcW w:w="1547" w:type="dxa"/>
            <w:noWrap/>
            <w:vAlign w:val="center"/>
          </w:tcPr>
          <w:p w14:paraId="7911EA7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973 836,31</w:t>
            </w:r>
          </w:p>
        </w:tc>
        <w:tc>
          <w:tcPr>
            <w:tcW w:w="1288" w:type="dxa"/>
            <w:noWrap/>
            <w:vAlign w:val="center"/>
          </w:tcPr>
          <w:p w14:paraId="148B2A1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ru-RU" w:eastAsia="zh-CN" w:bidi="ar"/>
              </w:rPr>
              <w:t xml:space="preserve"> </w:t>
            </w: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993 561,87</w:t>
            </w:r>
          </w:p>
        </w:tc>
        <w:tc>
          <w:tcPr>
            <w:tcW w:w="1276" w:type="dxa"/>
            <w:noWrap/>
            <w:vAlign w:val="center"/>
          </w:tcPr>
          <w:p w14:paraId="100EC37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19 725,56</w:t>
            </w:r>
          </w:p>
        </w:tc>
        <w:tc>
          <w:tcPr>
            <w:tcW w:w="808" w:type="dxa"/>
            <w:noWrap/>
            <w:vAlign w:val="center"/>
          </w:tcPr>
          <w:p w14:paraId="78BB4046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bottom"/>
              <w:rPr>
                <w:rFonts w:ascii="Times New Roman" w:hAnsi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SimSun" w:cs="Times New Roman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0,5</w:t>
            </w:r>
          </w:p>
        </w:tc>
      </w:tr>
    </w:tbl>
    <w:p w14:paraId="1D721689">
      <w:pPr>
        <w:spacing w:after="0" w:line="240" w:lineRule="auto"/>
        <w:jc w:val="both"/>
        <w:rPr>
          <w:rFonts w:ascii="Times New Roman" w:hAnsi="Times New Roman"/>
          <w:color w:val="auto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color w:val="auto"/>
          <w:sz w:val="26"/>
          <w:szCs w:val="26"/>
        </w:rPr>
        <w:t xml:space="preserve">Основные изменения финансового обеспечения предусмотрены по муниципальным программам 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>«Развитие агропромышленного комплекса Богородского муниципального округа Нижегородской области</w:t>
      </w:r>
      <w:r>
        <w:rPr>
          <w:rFonts w:hint="default" w:ascii="Times New Roman" w:hAnsi="Times New Roman" w:eastAsia="SimSun"/>
          <w:color w:val="auto"/>
          <w:sz w:val="26"/>
          <w:szCs w:val="26"/>
          <w:lang w:val="ru-RU" w:eastAsia="zh-CN"/>
        </w:rPr>
        <w:t xml:space="preserve">» 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с </w:t>
      </w:r>
      <w:r>
        <w:rPr>
          <w:rFonts w:ascii="Times New Roman" w:hAnsi="Times New Roman" w:eastAsia="SimSun"/>
          <w:color w:val="auto"/>
          <w:sz w:val="26"/>
          <w:szCs w:val="26"/>
          <w:lang w:val="ru-RU" w:eastAsia="zh-CN"/>
        </w:rPr>
        <w:t>уменьшени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ем на </w:t>
      </w:r>
      <w:r>
        <w:rPr>
          <w:rFonts w:hint="default" w:ascii="Times New Roman" w:hAnsi="Times New Roman" w:eastAsia="SimSun" w:cs="Times New Roman"/>
          <w:i w:val="0"/>
          <w:iCs w:val="0"/>
          <w:color w:val="auto"/>
          <w:kern w:val="0"/>
          <w:sz w:val="26"/>
          <w:szCs w:val="26"/>
          <w:u w:val="none"/>
          <w:lang w:val="en-US" w:eastAsia="zh-CN" w:bidi="ar"/>
        </w:rPr>
        <w:t>3 079,86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 тыс.</w:t>
      </w:r>
      <w:r>
        <w:rPr>
          <w:rFonts w:ascii="Times New Roman" w:hAnsi="Times New Roman" w:eastAsia="SimSun"/>
          <w:color w:val="auto"/>
          <w:sz w:val="26"/>
          <w:szCs w:val="26"/>
          <w:lang w:val="ru-RU" w:eastAsia="zh-CN"/>
        </w:rPr>
        <w:t>р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>ублей</w:t>
      </w:r>
      <w:r>
        <w:rPr>
          <w:rFonts w:hint="default" w:ascii="Times New Roman" w:hAnsi="Times New Roman" w:eastAsia="SimSun"/>
          <w:color w:val="auto"/>
          <w:sz w:val="26"/>
          <w:szCs w:val="26"/>
          <w:lang w:val="ru-RU" w:eastAsia="zh-CN"/>
        </w:rPr>
        <w:t xml:space="preserve"> (или 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на </w:t>
      </w:r>
      <w:r>
        <w:rPr>
          <w:rFonts w:hint="default" w:ascii="Times New Roman" w:hAnsi="Times New Roman" w:eastAsia="SimSun"/>
          <w:color w:val="auto"/>
          <w:sz w:val="26"/>
          <w:szCs w:val="26"/>
          <w:lang w:val="ru-RU" w:eastAsia="zh-CN"/>
        </w:rPr>
        <w:t>11,0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 %), «Развитие дорожного хозяйства Богородского муниципального округа Нижегородской области» с </w:t>
      </w:r>
      <w:r>
        <w:rPr>
          <w:rFonts w:ascii="Times New Roman" w:hAnsi="Times New Roman" w:eastAsia="SimSun"/>
          <w:color w:val="auto"/>
          <w:sz w:val="26"/>
          <w:szCs w:val="26"/>
          <w:lang w:val="ru-RU" w:eastAsia="zh-CN"/>
        </w:rPr>
        <w:t>увеличени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ем на </w:t>
      </w:r>
      <w:r>
        <w:rPr>
          <w:rFonts w:hint="default" w:ascii="Times New Roman" w:hAnsi="Times New Roman" w:eastAsia="SimSun" w:cs="Times New Roman"/>
          <w:i w:val="0"/>
          <w:iCs w:val="0"/>
          <w:color w:val="auto"/>
          <w:kern w:val="0"/>
          <w:sz w:val="26"/>
          <w:szCs w:val="26"/>
          <w:u w:val="none"/>
          <w:lang w:val="en-US" w:eastAsia="zh-CN" w:bidi="ar"/>
        </w:rPr>
        <w:t>16 272,36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 тыс. рублей (или на </w:t>
      </w:r>
      <w:r>
        <w:rPr>
          <w:rFonts w:hint="default" w:ascii="Times New Roman" w:hAnsi="Times New Roman" w:eastAsia="SimSun"/>
          <w:color w:val="auto"/>
          <w:sz w:val="26"/>
          <w:szCs w:val="26"/>
          <w:lang w:val="ru-RU" w:eastAsia="zh-CN"/>
        </w:rPr>
        <w:t xml:space="preserve">7,7 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>%), «Развитие муниципальной службы в Богородском муниципальном округе Нижегородской области»</w:t>
      </w:r>
      <w:r>
        <w:rPr>
          <w:rFonts w:ascii="Times New Roman" w:hAnsi="Times New Roman" w:eastAsiaTheme="minorEastAsia"/>
          <w:color w:val="auto"/>
          <w:sz w:val="26"/>
          <w:szCs w:val="26"/>
        </w:rPr>
        <w:t xml:space="preserve"> </w:t>
      </w:r>
      <w:r>
        <w:rPr>
          <w:rFonts w:ascii="Times New Roman" w:hAnsi="Times New Roman" w:eastAsiaTheme="minorEastAsia"/>
          <w:color w:val="auto"/>
          <w:sz w:val="26"/>
          <w:szCs w:val="26"/>
          <w:lang w:val="ru-RU"/>
        </w:rPr>
        <w:t>с</w:t>
      </w:r>
      <w:r>
        <w:rPr>
          <w:rFonts w:hint="default" w:ascii="Times New Roman" w:hAnsi="Times New Roman" w:eastAsiaTheme="minorEastAsia"/>
          <w:color w:val="auto"/>
          <w:sz w:val="26"/>
          <w:szCs w:val="26"/>
          <w:lang w:val="ru-RU"/>
        </w:rPr>
        <w:t xml:space="preserve"> </w:t>
      </w:r>
      <w:r>
        <w:rPr>
          <w:rFonts w:ascii="Times New Roman" w:hAnsi="Times New Roman" w:eastAsiaTheme="minorEastAsia"/>
          <w:color w:val="auto"/>
          <w:sz w:val="26"/>
          <w:szCs w:val="26"/>
        </w:rPr>
        <w:t>у</w:t>
      </w:r>
      <w:r>
        <w:rPr>
          <w:rFonts w:ascii="Times New Roman" w:hAnsi="Times New Roman" w:eastAsiaTheme="minorEastAsia"/>
          <w:color w:val="auto"/>
          <w:sz w:val="26"/>
          <w:szCs w:val="26"/>
          <w:lang w:val="ru-RU"/>
        </w:rPr>
        <w:t>меньшен</w:t>
      </w:r>
      <w:r>
        <w:rPr>
          <w:rFonts w:ascii="Times New Roman" w:hAnsi="Times New Roman" w:eastAsiaTheme="minorEastAsia"/>
          <w:color w:val="auto"/>
          <w:sz w:val="26"/>
          <w:szCs w:val="26"/>
        </w:rPr>
        <w:t>и</w:t>
      </w:r>
      <w:r>
        <w:rPr>
          <w:rFonts w:ascii="Times New Roman" w:hAnsi="Times New Roman" w:eastAsiaTheme="minorEastAsia"/>
          <w:color w:val="auto"/>
          <w:sz w:val="26"/>
          <w:szCs w:val="26"/>
          <w:lang w:val="ru-RU"/>
        </w:rPr>
        <w:t>ем</w:t>
      </w:r>
      <w:r>
        <w:rPr>
          <w:rFonts w:ascii="Times New Roman" w:hAnsi="Times New Roman" w:eastAsiaTheme="minorEastAsia"/>
          <w:color w:val="auto"/>
          <w:sz w:val="26"/>
          <w:szCs w:val="26"/>
        </w:rPr>
        <w:t xml:space="preserve"> на </w:t>
      </w:r>
      <w:r>
        <w:rPr>
          <w:rFonts w:hint="default" w:ascii="Times New Roman" w:hAnsi="Times New Roman" w:eastAsia="SimSun" w:cs="Times New Roman"/>
          <w:i w:val="0"/>
          <w:iCs w:val="0"/>
          <w:color w:val="auto"/>
          <w:kern w:val="0"/>
          <w:sz w:val="26"/>
          <w:szCs w:val="26"/>
          <w:u w:val="none"/>
          <w:lang w:val="en-US" w:eastAsia="zh-CN" w:bidi="ar"/>
        </w:rPr>
        <w:t>5 913,25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 </w:t>
      </w:r>
      <w:r>
        <w:rPr>
          <w:rFonts w:ascii="Times New Roman" w:hAnsi="Times New Roman" w:eastAsiaTheme="minorEastAsia"/>
          <w:color w:val="auto"/>
          <w:sz w:val="26"/>
          <w:szCs w:val="26"/>
        </w:rPr>
        <w:t xml:space="preserve">тыс. рублей (или на </w:t>
      </w:r>
      <w:r>
        <w:rPr>
          <w:rFonts w:hint="default" w:ascii="Times New Roman" w:hAnsi="Times New Roman" w:eastAsiaTheme="minorEastAsia"/>
          <w:color w:val="auto"/>
          <w:sz w:val="26"/>
          <w:szCs w:val="26"/>
          <w:lang w:val="ru-RU"/>
        </w:rPr>
        <w:t>3,3</w:t>
      </w:r>
      <w:r>
        <w:rPr>
          <w:rFonts w:ascii="Times New Roman" w:hAnsi="Times New Roman" w:eastAsia="SimSun"/>
          <w:color w:val="auto"/>
          <w:sz w:val="26"/>
          <w:szCs w:val="26"/>
          <w:lang w:eastAsia="zh-CN"/>
        </w:rPr>
        <w:t xml:space="preserve"> %</w:t>
      </w:r>
      <w:r>
        <w:rPr>
          <w:rFonts w:ascii="Times New Roman" w:hAnsi="Times New Roman"/>
          <w:color w:val="auto"/>
          <w:sz w:val="26"/>
          <w:szCs w:val="26"/>
        </w:rPr>
        <w:t>).</w:t>
      </w:r>
    </w:p>
    <w:p w14:paraId="272B43AB">
      <w:pPr>
        <w:pStyle w:val="188"/>
        <w:spacing w:line="240" w:lineRule="auto"/>
        <w:ind w:left="0"/>
        <w:jc w:val="both"/>
        <w:rPr>
          <w:rFonts w:hint="default"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 xml:space="preserve">Непрограммные расходы составили </w:t>
      </w:r>
      <w:r>
        <w:rPr>
          <w:rFonts w:hint="default" w:ascii="Times New Roman" w:hAnsi="Times New Roman"/>
          <w:color w:val="000000"/>
          <w:sz w:val="26"/>
          <w:szCs w:val="26"/>
        </w:rPr>
        <w:t>43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/>
          <w:color w:val="000000"/>
          <w:sz w:val="26"/>
          <w:szCs w:val="26"/>
        </w:rPr>
        <w:t>494,01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тыс.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р</w:t>
      </w:r>
      <w:r>
        <w:rPr>
          <w:rFonts w:ascii="Times New Roman" w:hAnsi="Times New Roman"/>
          <w:color w:val="000000"/>
          <w:sz w:val="26"/>
          <w:szCs w:val="26"/>
        </w:rPr>
        <w:t>ублей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>, увеличились на 1 150,34 тыс.рублей.</w:t>
      </w:r>
    </w:p>
    <w:p w14:paraId="2BD6CDB2">
      <w:pPr>
        <w:pStyle w:val="188"/>
        <w:numPr>
          <w:ilvl w:val="0"/>
          <w:numId w:val="2"/>
        </w:numPr>
        <w:spacing w:before="240" w:after="0" w:line="240" w:lineRule="auto"/>
        <w:ind w:left="0" w:firstLine="658" w:firstLineChars="253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>Основные изменения по источникам финансирования дефицита бюджета</w:t>
      </w:r>
    </w:p>
    <w:p w14:paraId="0D2541CA">
      <w:pPr>
        <w:spacing w:after="0" w:line="240" w:lineRule="auto"/>
        <w:ind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Проектом решения предусмотрено исполнение местного бюджета с дефицитом в сумме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2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/>
        </w:rPr>
        <w:t>99 302,06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тыс. рублей. В качестве источников внутреннего финансирования дефицита бюджета предусмотрена разница между привлеченными и погашенными кредитами кредитных организаций в валюте Российской Федерации в сумме 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/>
        </w:rPr>
        <w:t>60 000,00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тыс. 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/>
        </w:rPr>
        <w:t xml:space="preserve">рублей и изменение остатков средств на счетах по учету средств бюджета в сумме 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</w:rPr>
        <w:t>2</w:t>
      </w:r>
      <w:r>
        <w:rPr>
          <w:rFonts w:hint="default" w:ascii="Times New Roman" w:hAnsi="Times New Roman" w:cs="Times New Roman"/>
          <w:b w:val="0"/>
          <w:bCs w:val="0"/>
          <w:color w:val="auto"/>
          <w:sz w:val="26"/>
          <w:szCs w:val="26"/>
          <w:lang w:val="ru-RU"/>
        </w:rPr>
        <w:t>39 302,06 тыс.</w:t>
      </w:r>
      <w:r>
        <w:rPr>
          <w:rFonts w:hint="default" w:ascii="Times New Roman" w:hAnsi="Times New Roman"/>
          <w:bCs/>
          <w:color w:val="000000"/>
          <w:sz w:val="26"/>
          <w:szCs w:val="26"/>
          <w:lang w:val="ru-RU"/>
        </w:rPr>
        <w:t xml:space="preserve"> рублей.</w:t>
      </w:r>
      <w:r>
        <w:rPr>
          <w:rFonts w:ascii="Times New Roman" w:hAnsi="Times New Roman"/>
          <w:sz w:val="26"/>
          <w:szCs w:val="26"/>
        </w:rPr>
        <w:tab/>
      </w:r>
    </w:p>
    <w:p w14:paraId="5435A375">
      <w:pPr>
        <w:spacing w:after="0" w:line="240" w:lineRule="auto"/>
        <w:ind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Проектом решения о бюджете соблюдены требования и ограничения, установленные Бюджетным кодексом Российской Федерации: </w:t>
      </w:r>
    </w:p>
    <w:p w14:paraId="5FB15C8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п. 5 ст. 179.4 – по объему бюджетных ассигнований дорожного фонда </w:t>
      </w:r>
      <w:r>
        <w:rPr>
          <w:rFonts w:ascii="Times New Roman" w:hAnsi="Times New Roman"/>
          <w:color w:val="000000"/>
          <w:sz w:val="26"/>
          <w:szCs w:val="26"/>
        </w:rPr>
        <w:t>Богородского муниципального округа Нижегородской области</w:t>
      </w:r>
      <w:r>
        <w:rPr>
          <w:rFonts w:ascii="Times New Roman" w:hAnsi="Times New Roman"/>
          <w:sz w:val="26"/>
          <w:szCs w:val="26"/>
        </w:rPr>
        <w:t xml:space="preserve">, </w:t>
      </w:r>
    </w:p>
    <w:p w14:paraId="18BC54E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п. 3 ст. 184.1 – по общему объему условно утверждаемых расходов, а также бюджетных ассигнований, направляемых на исполнение публичных нормативных обязательств. </w:t>
      </w:r>
    </w:p>
    <w:p w14:paraId="64454737">
      <w:pPr>
        <w:spacing w:after="0" w:line="240" w:lineRule="auto"/>
        <w:ind w:firstLine="657" w:firstLineChars="25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п. 3 ст. 92.1 – по размеру дефицита бюджета.</w:t>
      </w:r>
    </w:p>
    <w:p w14:paraId="3472B733">
      <w:pPr>
        <w:pStyle w:val="19"/>
        <w:spacing w:after="0" w:line="240" w:lineRule="auto"/>
        <w:ind w:left="0" w:firstLine="657" w:firstLineChars="253"/>
        <w:jc w:val="both"/>
        <w:rPr>
          <w:sz w:val="26"/>
          <w:szCs w:val="26"/>
        </w:rPr>
      </w:pPr>
      <w:r>
        <w:rPr>
          <w:sz w:val="26"/>
          <w:szCs w:val="26"/>
        </w:rPr>
        <w:t>Представленный проект решения не противоречит действующему законодательству и рекомендуется к рассмотрению на заседании Совета депутатов Богородского муниципального округа Нижегородской области.</w:t>
      </w:r>
    </w:p>
    <w:p w14:paraId="331E0022">
      <w:pPr>
        <w:pStyle w:val="188"/>
        <w:spacing w:line="240" w:lineRule="auto"/>
        <w:ind w:left="0" w:firstLine="72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117ABEE"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Председатель контрольно-счетной</w:t>
      </w:r>
    </w:p>
    <w:p w14:paraId="3D699CD5"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комиссии Богородского муниципального </w:t>
      </w:r>
    </w:p>
    <w:p w14:paraId="0C41ABCD"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округа Нижегородской области</w:t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ab/>
      </w:r>
      <w:r>
        <w:rPr>
          <w:rFonts w:ascii="Times New Roman" w:hAnsi="Times New Roman"/>
          <w:color w:val="000000"/>
          <w:sz w:val="26"/>
          <w:szCs w:val="26"/>
        </w:rPr>
        <w:t xml:space="preserve">          Н.В.Гуськова </w:t>
      </w:r>
    </w:p>
    <w:p w14:paraId="11FA5554">
      <w:pPr>
        <w:pStyle w:val="188"/>
        <w:spacing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221731A">
      <w:pPr>
        <w:pStyle w:val="188"/>
        <w:spacing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hint="default" w:ascii="Times New Roman" w:hAnsi="Times New Roman"/>
          <w:color w:val="000000"/>
          <w:sz w:val="24"/>
          <w:lang w:val="ru-RU"/>
        </w:rPr>
        <w:t>1</w:t>
      </w:r>
      <w:bookmarkStart w:id="0" w:name="_GoBack"/>
      <w:bookmarkEnd w:id="0"/>
      <w:r>
        <w:rPr>
          <w:rFonts w:hint="default" w:ascii="Times New Roman" w:hAnsi="Times New Roman"/>
          <w:color w:val="000000"/>
          <w:sz w:val="24"/>
          <w:lang w:val="ru-RU"/>
        </w:rPr>
        <w:t>9.05.</w:t>
      </w:r>
      <w:r>
        <w:rPr>
          <w:rFonts w:ascii="Times New Roman" w:hAnsi="Times New Roman"/>
          <w:color w:val="000000"/>
          <w:sz w:val="24"/>
        </w:rPr>
        <w:t>202</w:t>
      </w:r>
      <w:r>
        <w:rPr>
          <w:rFonts w:hint="default" w:ascii="Times New Roman" w:hAnsi="Times New Roman"/>
          <w:color w:val="000000"/>
          <w:sz w:val="24"/>
          <w:lang w:val="ru-RU"/>
        </w:rPr>
        <w:t>6</w:t>
      </w:r>
    </w:p>
    <w:sectPr>
      <w:pgSz w:w="11906" w:h="16838"/>
      <w:pgMar w:top="773" w:right="745" w:bottom="1325" w:left="148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E3AC70"/>
    <w:multiLevelType w:val="singleLevel"/>
    <w:tmpl w:val="D1E3AC70"/>
    <w:lvl w:ilvl="0" w:tentative="0">
      <w:start w:val="1"/>
      <w:numFmt w:val="decimal"/>
      <w:suff w:val="space"/>
      <w:lvlText w:val="%1)"/>
      <w:lvlJc w:val="left"/>
    </w:lvl>
  </w:abstractNum>
  <w:abstractNum w:abstractNumId="1">
    <w:nsid w:val="15AF1B57"/>
    <w:multiLevelType w:val="multilevel"/>
    <w:tmpl w:val="15AF1B5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B02E6"/>
    <w:multiLevelType w:val="multilevel"/>
    <w:tmpl w:val="1D4B02E6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none"/>
      <w:lvlText w:val=""/>
      <w:lvlJc w:val="left"/>
      <w:pPr>
        <w:tabs>
          <w:tab w:val="left" w:pos="360"/>
        </w:tabs>
      </w:pPr>
    </w:lvl>
    <w:lvl w:ilvl="2" w:tentative="0">
      <w:start w:val="1"/>
      <w:numFmt w:val="none"/>
      <w:lvlText w:val=""/>
      <w:lvlJc w:val="left"/>
      <w:pPr>
        <w:tabs>
          <w:tab w:val="left" w:pos="360"/>
        </w:tabs>
      </w:pPr>
    </w:lvl>
    <w:lvl w:ilvl="3" w:tentative="0">
      <w:start w:val="1"/>
      <w:numFmt w:val="none"/>
      <w:lvlText w:val=""/>
      <w:lvlJc w:val="left"/>
      <w:pPr>
        <w:tabs>
          <w:tab w:val="left" w:pos="360"/>
        </w:tabs>
      </w:pPr>
    </w:lvl>
    <w:lvl w:ilvl="4" w:tentative="0">
      <w:start w:val="1"/>
      <w:numFmt w:val="none"/>
      <w:lvlText w:val=""/>
      <w:lvlJc w:val="left"/>
      <w:pPr>
        <w:tabs>
          <w:tab w:val="left" w:pos="360"/>
        </w:tabs>
      </w:pPr>
    </w:lvl>
    <w:lvl w:ilvl="5" w:tentative="0">
      <w:start w:val="1"/>
      <w:numFmt w:val="none"/>
      <w:lvlText w:val=""/>
      <w:lvlJc w:val="left"/>
      <w:pPr>
        <w:tabs>
          <w:tab w:val="left" w:pos="360"/>
        </w:tabs>
      </w:pPr>
    </w:lvl>
    <w:lvl w:ilvl="6" w:tentative="0">
      <w:start w:val="1"/>
      <w:numFmt w:val="none"/>
      <w:lvlText w:val=""/>
      <w:lvlJc w:val="left"/>
      <w:pPr>
        <w:tabs>
          <w:tab w:val="left" w:pos="360"/>
        </w:tabs>
      </w:pPr>
    </w:lvl>
    <w:lvl w:ilvl="7" w:tentative="0">
      <w:start w:val="1"/>
      <w:numFmt w:val="none"/>
      <w:lvlText w:val=""/>
      <w:lvlJc w:val="left"/>
      <w:pPr>
        <w:tabs>
          <w:tab w:val="left" w:pos="360"/>
        </w:tabs>
      </w:pPr>
    </w:lvl>
    <w:lvl w:ilvl="8" w:tentative="0">
      <w:start w:val="1"/>
      <w:numFmt w:val="none"/>
      <w:lvlText w:val=""/>
      <w:lvlJc w:val="left"/>
      <w:pPr>
        <w:tabs>
          <w:tab w:val="left" w:pos="360"/>
        </w:tabs>
      </w:pPr>
    </w:lvl>
  </w:abstractNum>
  <w:abstractNum w:abstractNumId="3">
    <w:nsid w:val="32F7E544"/>
    <w:multiLevelType w:val="singleLevel"/>
    <w:tmpl w:val="32F7E544"/>
    <w:lvl w:ilvl="0" w:tentative="0">
      <w:start w:val="1"/>
      <w:numFmt w:val="decimal"/>
      <w:suff w:val="space"/>
      <w:lvlText w:val="%1)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38"/>
    <w:rsid w:val="0000096D"/>
    <w:rsid w:val="00006AC2"/>
    <w:rsid w:val="000167CE"/>
    <w:rsid w:val="00021463"/>
    <w:rsid w:val="0004438D"/>
    <w:rsid w:val="00072D91"/>
    <w:rsid w:val="000A12F7"/>
    <w:rsid w:val="000A49BB"/>
    <w:rsid w:val="000B0B74"/>
    <w:rsid w:val="000F48F3"/>
    <w:rsid w:val="000F7FF5"/>
    <w:rsid w:val="00103BA2"/>
    <w:rsid w:val="001336DB"/>
    <w:rsid w:val="00142B2E"/>
    <w:rsid w:val="001431CF"/>
    <w:rsid w:val="00167EE0"/>
    <w:rsid w:val="001A1A4D"/>
    <w:rsid w:val="001B3D40"/>
    <w:rsid w:val="001B604B"/>
    <w:rsid w:val="001D0807"/>
    <w:rsid w:val="001E0B4E"/>
    <w:rsid w:val="001F49ED"/>
    <w:rsid w:val="002121AE"/>
    <w:rsid w:val="002371E6"/>
    <w:rsid w:val="00246A2F"/>
    <w:rsid w:val="002536E7"/>
    <w:rsid w:val="0026743D"/>
    <w:rsid w:val="00277333"/>
    <w:rsid w:val="00296286"/>
    <w:rsid w:val="002A33B6"/>
    <w:rsid w:val="002B2B27"/>
    <w:rsid w:val="002D2AD4"/>
    <w:rsid w:val="003039B2"/>
    <w:rsid w:val="00303C35"/>
    <w:rsid w:val="003141AA"/>
    <w:rsid w:val="00330709"/>
    <w:rsid w:val="003330AE"/>
    <w:rsid w:val="00341906"/>
    <w:rsid w:val="00356139"/>
    <w:rsid w:val="00362AE1"/>
    <w:rsid w:val="0039034C"/>
    <w:rsid w:val="00390B02"/>
    <w:rsid w:val="003D3419"/>
    <w:rsid w:val="004034E2"/>
    <w:rsid w:val="004454FA"/>
    <w:rsid w:val="004507E8"/>
    <w:rsid w:val="00450AE9"/>
    <w:rsid w:val="00453038"/>
    <w:rsid w:val="004A759A"/>
    <w:rsid w:val="004E18C6"/>
    <w:rsid w:val="004E716F"/>
    <w:rsid w:val="00502A76"/>
    <w:rsid w:val="00502BBF"/>
    <w:rsid w:val="00505924"/>
    <w:rsid w:val="005212CD"/>
    <w:rsid w:val="00522626"/>
    <w:rsid w:val="00522A16"/>
    <w:rsid w:val="00525441"/>
    <w:rsid w:val="00535A9A"/>
    <w:rsid w:val="005510F5"/>
    <w:rsid w:val="00563FA9"/>
    <w:rsid w:val="00572D62"/>
    <w:rsid w:val="005809EC"/>
    <w:rsid w:val="005973CE"/>
    <w:rsid w:val="005A24F7"/>
    <w:rsid w:val="005B3760"/>
    <w:rsid w:val="005B503A"/>
    <w:rsid w:val="00613BD2"/>
    <w:rsid w:val="006535F9"/>
    <w:rsid w:val="00665CBD"/>
    <w:rsid w:val="006672A0"/>
    <w:rsid w:val="006B2DA7"/>
    <w:rsid w:val="006C06B0"/>
    <w:rsid w:val="006C10F7"/>
    <w:rsid w:val="00710C19"/>
    <w:rsid w:val="007347DE"/>
    <w:rsid w:val="00736113"/>
    <w:rsid w:val="00763AD4"/>
    <w:rsid w:val="00770664"/>
    <w:rsid w:val="00774E16"/>
    <w:rsid w:val="00784A7E"/>
    <w:rsid w:val="007E4536"/>
    <w:rsid w:val="007F414C"/>
    <w:rsid w:val="0080443A"/>
    <w:rsid w:val="00832F51"/>
    <w:rsid w:val="00870D43"/>
    <w:rsid w:val="008A497C"/>
    <w:rsid w:val="008B0FBD"/>
    <w:rsid w:val="008C2A78"/>
    <w:rsid w:val="008C60B6"/>
    <w:rsid w:val="008E210C"/>
    <w:rsid w:val="008E28FA"/>
    <w:rsid w:val="008F034C"/>
    <w:rsid w:val="00905050"/>
    <w:rsid w:val="009179D1"/>
    <w:rsid w:val="00941B00"/>
    <w:rsid w:val="0098078B"/>
    <w:rsid w:val="00984E0E"/>
    <w:rsid w:val="009C0999"/>
    <w:rsid w:val="009C2694"/>
    <w:rsid w:val="009C6F8C"/>
    <w:rsid w:val="009E1460"/>
    <w:rsid w:val="009E16F3"/>
    <w:rsid w:val="00A04D18"/>
    <w:rsid w:val="00A54215"/>
    <w:rsid w:val="00A67B02"/>
    <w:rsid w:val="00A72867"/>
    <w:rsid w:val="00A87A72"/>
    <w:rsid w:val="00AA742D"/>
    <w:rsid w:val="00AB5A40"/>
    <w:rsid w:val="00AC3073"/>
    <w:rsid w:val="00AE3A60"/>
    <w:rsid w:val="00B12A47"/>
    <w:rsid w:val="00B12C5C"/>
    <w:rsid w:val="00B156DF"/>
    <w:rsid w:val="00B232BE"/>
    <w:rsid w:val="00B43A5D"/>
    <w:rsid w:val="00B55F6E"/>
    <w:rsid w:val="00B726DA"/>
    <w:rsid w:val="00B75C44"/>
    <w:rsid w:val="00B82753"/>
    <w:rsid w:val="00B82BAD"/>
    <w:rsid w:val="00BA1D1E"/>
    <w:rsid w:val="00BB2038"/>
    <w:rsid w:val="00BE1AB1"/>
    <w:rsid w:val="00BE2DE6"/>
    <w:rsid w:val="00BE31F9"/>
    <w:rsid w:val="00BF5847"/>
    <w:rsid w:val="00C241DB"/>
    <w:rsid w:val="00C3574E"/>
    <w:rsid w:val="00C5767B"/>
    <w:rsid w:val="00C6666F"/>
    <w:rsid w:val="00C916A5"/>
    <w:rsid w:val="00C91988"/>
    <w:rsid w:val="00C920E5"/>
    <w:rsid w:val="00D207F1"/>
    <w:rsid w:val="00D27083"/>
    <w:rsid w:val="00D3048A"/>
    <w:rsid w:val="00D35B25"/>
    <w:rsid w:val="00D4502C"/>
    <w:rsid w:val="00D758F6"/>
    <w:rsid w:val="00D80ADF"/>
    <w:rsid w:val="00DA65A2"/>
    <w:rsid w:val="00DB062D"/>
    <w:rsid w:val="00DC0280"/>
    <w:rsid w:val="00DC0B5A"/>
    <w:rsid w:val="00DD644F"/>
    <w:rsid w:val="00E03CE8"/>
    <w:rsid w:val="00E27D8C"/>
    <w:rsid w:val="00E351BF"/>
    <w:rsid w:val="00E45863"/>
    <w:rsid w:val="00E661F4"/>
    <w:rsid w:val="00E72892"/>
    <w:rsid w:val="00E86241"/>
    <w:rsid w:val="00EA352B"/>
    <w:rsid w:val="00EC4245"/>
    <w:rsid w:val="00ED5F12"/>
    <w:rsid w:val="00EE07CA"/>
    <w:rsid w:val="00EE5F20"/>
    <w:rsid w:val="00EF0584"/>
    <w:rsid w:val="00F047AB"/>
    <w:rsid w:val="00F302FC"/>
    <w:rsid w:val="00F430EB"/>
    <w:rsid w:val="00F7124C"/>
    <w:rsid w:val="00F85512"/>
    <w:rsid w:val="00F8698C"/>
    <w:rsid w:val="00FA031A"/>
    <w:rsid w:val="00FD1949"/>
    <w:rsid w:val="00FD34F5"/>
    <w:rsid w:val="00FF08C5"/>
    <w:rsid w:val="017C1F56"/>
    <w:rsid w:val="01EB50C9"/>
    <w:rsid w:val="033C59C6"/>
    <w:rsid w:val="0399352E"/>
    <w:rsid w:val="03D72572"/>
    <w:rsid w:val="040F5773"/>
    <w:rsid w:val="05773987"/>
    <w:rsid w:val="08506633"/>
    <w:rsid w:val="08A2026C"/>
    <w:rsid w:val="08C2146E"/>
    <w:rsid w:val="095D5331"/>
    <w:rsid w:val="09D0475C"/>
    <w:rsid w:val="0A57305D"/>
    <w:rsid w:val="0A663F99"/>
    <w:rsid w:val="0E6620EF"/>
    <w:rsid w:val="0E795E8E"/>
    <w:rsid w:val="0F1A6058"/>
    <w:rsid w:val="10AC4A40"/>
    <w:rsid w:val="123F21C2"/>
    <w:rsid w:val="15E55290"/>
    <w:rsid w:val="16387814"/>
    <w:rsid w:val="174A7134"/>
    <w:rsid w:val="174B23F8"/>
    <w:rsid w:val="1A212ADE"/>
    <w:rsid w:val="1B0D380B"/>
    <w:rsid w:val="1BA8257F"/>
    <w:rsid w:val="1D44409F"/>
    <w:rsid w:val="1EC5770B"/>
    <w:rsid w:val="20252C50"/>
    <w:rsid w:val="218D3C49"/>
    <w:rsid w:val="22804282"/>
    <w:rsid w:val="228F7F7C"/>
    <w:rsid w:val="271F52BE"/>
    <w:rsid w:val="278F0DF5"/>
    <w:rsid w:val="29557925"/>
    <w:rsid w:val="29CB32FD"/>
    <w:rsid w:val="2B995F99"/>
    <w:rsid w:val="2BD337CD"/>
    <w:rsid w:val="2C372864"/>
    <w:rsid w:val="2EB83193"/>
    <w:rsid w:val="2EFE0757"/>
    <w:rsid w:val="2F093B3A"/>
    <w:rsid w:val="303059B9"/>
    <w:rsid w:val="32B003EE"/>
    <w:rsid w:val="3647326D"/>
    <w:rsid w:val="36ED1F13"/>
    <w:rsid w:val="3B056CE2"/>
    <w:rsid w:val="3B745E2B"/>
    <w:rsid w:val="3C9F21FA"/>
    <w:rsid w:val="3CEC5B9B"/>
    <w:rsid w:val="3E22754F"/>
    <w:rsid w:val="3E900341"/>
    <w:rsid w:val="3F8B2050"/>
    <w:rsid w:val="40520794"/>
    <w:rsid w:val="413C64BB"/>
    <w:rsid w:val="42016925"/>
    <w:rsid w:val="4386542C"/>
    <w:rsid w:val="441A52C7"/>
    <w:rsid w:val="441D1ACF"/>
    <w:rsid w:val="441D624B"/>
    <w:rsid w:val="46A815C9"/>
    <w:rsid w:val="492A1A2C"/>
    <w:rsid w:val="4A2C570A"/>
    <w:rsid w:val="4CF22055"/>
    <w:rsid w:val="4CF46CCF"/>
    <w:rsid w:val="4F7A20A8"/>
    <w:rsid w:val="503F49D5"/>
    <w:rsid w:val="50D97F6E"/>
    <w:rsid w:val="520A6B93"/>
    <w:rsid w:val="52D41C73"/>
    <w:rsid w:val="52E40364"/>
    <w:rsid w:val="53E57625"/>
    <w:rsid w:val="545819D6"/>
    <w:rsid w:val="546F7724"/>
    <w:rsid w:val="54890893"/>
    <w:rsid w:val="55317553"/>
    <w:rsid w:val="5B553D2A"/>
    <w:rsid w:val="5DAD533E"/>
    <w:rsid w:val="5DC913EB"/>
    <w:rsid w:val="5E805317"/>
    <w:rsid w:val="5E941AD8"/>
    <w:rsid w:val="60D81969"/>
    <w:rsid w:val="60E5134B"/>
    <w:rsid w:val="629835F8"/>
    <w:rsid w:val="63672527"/>
    <w:rsid w:val="64B7454D"/>
    <w:rsid w:val="67F56F1D"/>
    <w:rsid w:val="69D23A98"/>
    <w:rsid w:val="6AED06A1"/>
    <w:rsid w:val="6DEE6AE4"/>
    <w:rsid w:val="6E2F043D"/>
    <w:rsid w:val="6FA4387E"/>
    <w:rsid w:val="6FCA3275"/>
    <w:rsid w:val="72982AA9"/>
    <w:rsid w:val="743950BE"/>
    <w:rsid w:val="762B7CFF"/>
    <w:rsid w:val="77042FD3"/>
    <w:rsid w:val="7A324B98"/>
    <w:rsid w:val="7C09154E"/>
    <w:rsid w:val="7F9F0507"/>
    <w:rsid w:val="7FB638B2"/>
    <w:rsid w:val="7FFD24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unhideWhenUsed/>
    <w:qFormat/>
    <w:uiPriority w:val="99"/>
    <w:rPr>
      <w:vertAlign w:val="superscript"/>
    </w:rPr>
  </w:style>
  <w:style w:type="character" w:styleId="5">
    <w:name w:val="endnote reference"/>
    <w:basedOn w:val="2"/>
    <w:semiHidden/>
    <w:unhideWhenUsed/>
    <w:qFormat/>
    <w:uiPriority w:val="99"/>
    <w:rPr>
      <w:vertAlign w:val="superscript"/>
    </w:rPr>
  </w:style>
  <w:style w:type="character" w:styleId="6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endnote text"/>
    <w:basedOn w:val="1"/>
    <w:link w:val="186"/>
    <w:semiHidden/>
    <w:unhideWhenUsed/>
    <w:qFormat/>
    <w:uiPriority w:val="99"/>
    <w:pPr>
      <w:spacing w:after="0" w:line="240" w:lineRule="auto"/>
    </w:pPr>
    <w:rPr>
      <w:sz w:val="20"/>
    </w:rPr>
  </w:style>
  <w:style w:type="paragraph" w:styleId="8">
    <w:name w:val="footnote text"/>
    <w:basedOn w:val="1"/>
    <w:link w:val="185"/>
    <w:semiHidden/>
    <w:unhideWhenUsed/>
    <w:qFormat/>
    <w:uiPriority w:val="99"/>
    <w:pPr>
      <w:spacing w:after="40" w:line="240" w:lineRule="auto"/>
    </w:pPr>
    <w:rPr>
      <w:sz w:val="18"/>
    </w:rPr>
  </w:style>
  <w:style w:type="paragraph" w:styleId="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toc 1"/>
    <w:basedOn w:val="1"/>
    <w:next w:val="1"/>
    <w:unhideWhenUsed/>
    <w:qFormat/>
    <w:uiPriority w:val="39"/>
    <w:pPr>
      <w:spacing w:after="57"/>
    </w:pPr>
  </w:style>
  <w:style w:type="paragraph" w:styleId="13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14">
    <w:name w:val="table of figures"/>
    <w:basedOn w:val="1"/>
    <w:next w:val="1"/>
    <w:unhideWhenUsed/>
    <w:qFormat/>
    <w:uiPriority w:val="99"/>
    <w:pPr>
      <w:spacing w:after="0"/>
    </w:pPr>
  </w:style>
  <w:style w:type="paragraph" w:styleId="1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1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1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9">
    <w:name w:val="Body Text Indent"/>
    <w:basedOn w:val="1"/>
    <w:link w:val="189"/>
    <w:qFormat/>
    <w:uiPriority w:val="0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paragraph" w:styleId="20">
    <w:name w:val="Title"/>
    <w:basedOn w:val="1"/>
    <w:next w:val="1"/>
    <w:link w:val="48"/>
    <w:qFormat/>
    <w:uiPriority w:val="10"/>
    <w:pPr>
      <w:spacing w:before="300"/>
      <w:contextualSpacing/>
    </w:pPr>
    <w:rPr>
      <w:sz w:val="48"/>
      <w:szCs w:val="48"/>
    </w:rPr>
  </w:style>
  <w:style w:type="paragraph" w:styleId="21">
    <w:name w:val="Subtitle"/>
    <w:basedOn w:val="1"/>
    <w:next w:val="1"/>
    <w:link w:val="49"/>
    <w:qFormat/>
    <w:uiPriority w:val="11"/>
    <w:pPr>
      <w:spacing w:before="200"/>
    </w:pPr>
    <w:rPr>
      <w:sz w:val="24"/>
      <w:szCs w:val="24"/>
    </w:rPr>
  </w:style>
  <w:style w:type="table" w:styleId="22">
    <w:name w:val="Table Grid"/>
    <w:basedOn w:val="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Title Char"/>
    <w:basedOn w:val="2"/>
    <w:qFormat/>
    <w:uiPriority w:val="10"/>
    <w:rPr>
      <w:sz w:val="48"/>
      <w:szCs w:val="48"/>
    </w:rPr>
  </w:style>
  <w:style w:type="character" w:customStyle="1" w:styleId="24">
    <w:name w:val="Subtitle Char"/>
    <w:basedOn w:val="2"/>
    <w:qFormat/>
    <w:uiPriority w:val="11"/>
    <w:rPr>
      <w:sz w:val="24"/>
      <w:szCs w:val="24"/>
    </w:rPr>
  </w:style>
  <w:style w:type="character" w:customStyle="1" w:styleId="25">
    <w:name w:val="Quote Char"/>
    <w:qFormat/>
    <w:uiPriority w:val="29"/>
    <w:rPr>
      <w:i/>
    </w:rPr>
  </w:style>
  <w:style w:type="character" w:customStyle="1" w:styleId="26">
    <w:name w:val="Intense Quote Char"/>
    <w:qFormat/>
    <w:uiPriority w:val="30"/>
    <w:rPr>
      <w:i/>
    </w:rPr>
  </w:style>
  <w:style w:type="character" w:customStyle="1" w:styleId="27">
    <w:name w:val="Footnote Text Char"/>
    <w:qFormat/>
    <w:uiPriority w:val="99"/>
    <w:rPr>
      <w:sz w:val="18"/>
    </w:rPr>
  </w:style>
  <w:style w:type="character" w:customStyle="1" w:styleId="28">
    <w:name w:val="Endnote Text Char"/>
    <w:qFormat/>
    <w:uiPriority w:val="99"/>
    <w:rPr>
      <w:sz w:val="20"/>
    </w:rPr>
  </w:style>
  <w:style w:type="paragraph" w:customStyle="1" w:styleId="29">
    <w:name w:val="Heading 1"/>
    <w:basedOn w:val="1"/>
    <w:next w:val="1"/>
    <w:link w:val="30"/>
    <w:qFormat/>
    <w:uiPriority w:val="9"/>
    <w:pPr>
      <w:keepNext/>
      <w:keepLines/>
      <w:spacing w:before="480"/>
      <w:outlineLvl w:val="0"/>
    </w:pPr>
    <w:rPr>
      <w:rFonts w:ascii="Arial" w:hAnsi="Arial" w:eastAsia="Arial" w:cs="Arial"/>
      <w:sz w:val="40"/>
      <w:szCs w:val="40"/>
    </w:rPr>
  </w:style>
  <w:style w:type="character" w:customStyle="1" w:styleId="30">
    <w:name w:val="Heading 1 Char"/>
    <w:basedOn w:val="2"/>
    <w:link w:val="29"/>
    <w:qFormat/>
    <w:uiPriority w:val="9"/>
    <w:rPr>
      <w:rFonts w:ascii="Arial" w:hAnsi="Arial" w:eastAsia="Arial" w:cs="Arial"/>
      <w:sz w:val="40"/>
      <w:szCs w:val="40"/>
    </w:rPr>
  </w:style>
  <w:style w:type="paragraph" w:customStyle="1" w:styleId="31">
    <w:name w:val="Heading 2"/>
    <w:basedOn w:val="1"/>
    <w:next w:val="1"/>
    <w:link w:val="32"/>
    <w:unhideWhenUsed/>
    <w:qFormat/>
    <w:uiPriority w:val="9"/>
    <w:pPr>
      <w:keepNext/>
      <w:keepLines/>
      <w:spacing w:before="360"/>
      <w:outlineLvl w:val="1"/>
    </w:pPr>
    <w:rPr>
      <w:rFonts w:ascii="Arial" w:hAnsi="Arial" w:eastAsia="Arial" w:cs="Arial"/>
      <w:sz w:val="34"/>
    </w:rPr>
  </w:style>
  <w:style w:type="character" w:customStyle="1" w:styleId="32">
    <w:name w:val="Heading 2 Char"/>
    <w:basedOn w:val="2"/>
    <w:link w:val="31"/>
    <w:qFormat/>
    <w:uiPriority w:val="9"/>
    <w:rPr>
      <w:rFonts w:ascii="Arial" w:hAnsi="Arial" w:eastAsia="Arial" w:cs="Arial"/>
      <w:sz w:val="34"/>
    </w:rPr>
  </w:style>
  <w:style w:type="paragraph" w:customStyle="1" w:styleId="33">
    <w:name w:val="Heading 3"/>
    <w:basedOn w:val="1"/>
    <w:next w:val="1"/>
    <w:link w:val="34"/>
    <w:unhideWhenUsed/>
    <w:qFormat/>
    <w:uiPriority w:val="9"/>
    <w:pPr>
      <w:keepNext/>
      <w:keepLines/>
      <w:spacing w:before="320"/>
      <w:outlineLvl w:val="2"/>
    </w:pPr>
    <w:rPr>
      <w:rFonts w:ascii="Arial" w:hAnsi="Arial" w:eastAsia="Arial" w:cs="Arial"/>
      <w:sz w:val="30"/>
      <w:szCs w:val="30"/>
    </w:rPr>
  </w:style>
  <w:style w:type="character" w:customStyle="1" w:styleId="34">
    <w:name w:val="Heading 3 Char"/>
    <w:basedOn w:val="2"/>
    <w:link w:val="33"/>
    <w:qFormat/>
    <w:uiPriority w:val="9"/>
    <w:rPr>
      <w:rFonts w:ascii="Arial" w:hAnsi="Arial" w:eastAsia="Arial" w:cs="Arial"/>
      <w:sz w:val="30"/>
      <w:szCs w:val="30"/>
    </w:rPr>
  </w:style>
  <w:style w:type="paragraph" w:customStyle="1" w:styleId="35">
    <w:name w:val="Heading 4"/>
    <w:basedOn w:val="1"/>
    <w:next w:val="1"/>
    <w:link w:val="36"/>
    <w:unhideWhenUsed/>
    <w:qFormat/>
    <w:uiPriority w:val="9"/>
    <w:pPr>
      <w:keepNext/>
      <w:keepLines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customStyle="1" w:styleId="36">
    <w:name w:val="Heading 4 Char"/>
    <w:basedOn w:val="2"/>
    <w:link w:val="35"/>
    <w:qFormat/>
    <w:uiPriority w:val="9"/>
    <w:rPr>
      <w:rFonts w:ascii="Arial" w:hAnsi="Arial" w:eastAsia="Arial" w:cs="Arial"/>
      <w:b/>
      <w:bCs/>
      <w:sz w:val="26"/>
      <w:szCs w:val="26"/>
    </w:rPr>
  </w:style>
  <w:style w:type="paragraph" w:customStyle="1" w:styleId="37">
    <w:name w:val="Heading 5"/>
    <w:basedOn w:val="1"/>
    <w:next w:val="1"/>
    <w:link w:val="38"/>
    <w:unhideWhenUsed/>
    <w:qFormat/>
    <w:uiPriority w:val="9"/>
    <w:pPr>
      <w:keepNext/>
      <w:keepLines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customStyle="1" w:styleId="38">
    <w:name w:val="Heading 5 Char"/>
    <w:basedOn w:val="2"/>
    <w:link w:val="37"/>
    <w:qFormat/>
    <w:uiPriority w:val="9"/>
    <w:rPr>
      <w:rFonts w:ascii="Arial" w:hAnsi="Arial" w:eastAsia="Arial" w:cs="Arial"/>
      <w:b/>
      <w:bCs/>
      <w:sz w:val="24"/>
      <w:szCs w:val="24"/>
    </w:rPr>
  </w:style>
  <w:style w:type="paragraph" w:customStyle="1" w:styleId="39">
    <w:name w:val="Heading 6"/>
    <w:basedOn w:val="1"/>
    <w:next w:val="1"/>
    <w:link w:val="40"/>
    <w:unhideWhenUsed/>
    <w:qFormat/>
    <w:uiPriority w:val="9"/>
    <w:pPr>
      <w:keepNext/>
      <w:keepLines/>
      <w:spacing w:before="320"/>
      <w:outlineLvl w:val="5"/>
    </w:pPr>
    <w:rPr>
      <w:rFonts w:ascii="Arial" w:hAnsi="Arial" w:eastAsia="Arial" w:cs="Arial"/>
      <w:b/>
      <w:bCs/>
    </w:rPr>
  </w:style>
  <w:style w:type="character" w:customStyle="1" w:styleId="40">
    <w:name w:val="Heading 6 Char"/>
    <w:basedOn w:val="2"/>
    <w:link w:val="39"/>
    <w:qFormat/>
    <w:uiPriority w:val="9"/>
    <w:rPr>
      <w:rFonts w:ascii="Arial" w:hAnsi="Arial" w:eastAsia="Arial" w:cs="Arial"/>
      <w:b/>
      <w:bCs/>
      <w:sz w:val="22"/>
      <w:szCs w:val="22"/>
    </w:rPr>
  </w:style>
  <w:style w:type="paragraph" w:customStyle="1" w:styleId="41">
    <w:name w:val="Heading 7"/>
    <w:basedOn w:val="1"/>
    <w:next w:val="1"/>
    <w:link w:val="42"/>
    <w:unhideWhenUsed/>
    <w:qFormat/>
    <w:uiPriority w:val="9"/>
    <w:pPr>
      <w:keepNext/>
      <w:keepLines/>
      <w:spacing w:before="320"/>
      <w:outlineLvl w:val="6"/>
    </w:pPr>
    <w:rPr>
      <w:rFonts w:ascii="Arial" w:hAnsi="Arial" w:eastAsia="Arial" w:cs="Arial"/>
      <w:b/>
      <w:bCs/>
      <w:i/>
      <w:iCs/>
    </w:rPr>
  </w:style>
  <w:style w:type="character" w:customStyle="1" w:styleId="42">
    <w:name w:val="Heading 7 Char"/>
    <w:basedOn w:val="2"/>
    <w:link w:val="41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customStyle="1" w:styleId="43">
    <w:name w:val="Heading 8"/>
    <w:basedOn w:val="1"/>
    <w:next w:val="1"/>
    <w:link w:val="44"/>
    <w:unhideWhenUsed/>
    <w:qFormat/>
    <w:uiPriority w:val="9"/>
    <w:pPr>
      <w:keepNext/>
      <w:keepLines/>
      <w:spacing w:before="320"/>
      <w:outlineLvl w:val="7"/>
    </w:pPr>
    <w:rPr>
      <w:rFonts w:ascii="Arial" w:hAnsi="Arial" w:eastAsia="Arial" w:cs="Arial"/>
      <w:i/>
      <w:iCs/>
    </w:rPr>
  </w:style>
  <w:style w:type="character" w:customStyle="1" w:styleId="44">
    <w:name w:val="Heading 8 Char"/>
    <w:basedOn w:val="2"/>
    <w:link w:val="43"/>
    <w:qFormat/>
    <w:uiPriority w:val="9"/>
    <w:rPr>
      <w:rFonts w:ascii="Arial" w:hAnsi="Arial" w:eastAsia="Arial" w:cs="Arial"/>
      <w:i/>
      <w:iCs/>
      <w:sz w:val="22"/>
      <w:szCs w:val="22"/>
    </w:rPr>
  </w:style>
  <w:style w:type="paragraph" w:customStyle="1" w:styleId="45">
    <w:name w:val="Heading 9"/>
    <w:basedOn w:val="1"/>
    <w:next w:val="1"/>
    <w:link w:val="46"/>
    <w:unhideWhenUsed/>
    <w:qFormat/>
    <w:uiPriority w:val="9"/>
    <w:pPr>
      <w:keepNext/>
      <w:keepLines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customStyle="1" w:styleId="46">
    <w:name w:val="Heading 9 Char"/>
    <w:basedOn w:val="2"/>
    <w:link w:val="45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7">
    <w:name w:val="No Spacing"/>
    <w:qFormat/>
    <w:uiPriority w:val="1"/>
    <w:rPr>
      <w:rFonts w:ascii="Times New Roman" w:hAnsi="Times New Roman" w:eastAsia="SimSun" w:cs="Times New Roman"/>
      <w:lang w:val="ru-RU" w:eastAsia="ru-RU" w:bidi="ar-SA"/>
    </w:rPr>
  </w:style>
  <w:style w:type="character" w:customStyle="1" w:styleId="48">
    <w:name w:val="Название Знак"/>
    <w:basedOn w:val="2"/>
    <w:link w:val="20"/>
    <w:qFormat/>
    <w:uiPriority w:val="10"/>
    <w:rPr>
      <w:sz w:val="48"/>
      <w:szCs w:val="48"/>
    </w:rPr>
  </w:style>
  <w:style w:type="character" w:customStyle="1" w:styleId="49">
    <w:name w:val="Подзаголовок Знак"/>
    <w:basedOn w:val="2"/>
    <w:link w:val="21"/>
    <w:qFormat/>
    <w:uiPriority w:val="11"/>
    <w:rPr>
      <w:sz w:val="24"/>
      <w:szCs w:val="24"/>
    </w:rPr>
  </w:style>
  <w:style w:type="paragraph" w:styleId="50">
    <w:name w:val="Quote"/>
    <w:basedOn w:val="1"/>
    <w:next w:val="1"/>
    <w:link w:val="51"/>
    <w:qFormat/>
    <w:uiPriority w:val="29"/>
    <w:pPr>
      <w:ind w:left="720" w:right="720"/>
    </w:pPr>
    <w:rPr>
      <w:i/>
    </w:rPr>
  </w:style>
  <w:style w:type="character" w:customStyle="1" w:styleId="51">
    <w:name w:val="Цитата 2 Знак"/>
    <w:link w:val="50"/>
    <w:qFormat/>
    <w:uiPriority w:val="29"/>
    <w:rPr>
      <w:i/>
    </w:rPr>
  </w:style>
  <w:style w:type="paragraph" w:styleId="52">
    <w:name w:val="Intense Quote"/>
    <w:basedOn w:val="1"/>
    <w:next w:val="1"/>
    <w:link w:val="53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3">
    <w:name w:val="Выделенная цитата Знак"/>
    <w:link w:val="52"/>
    <w:qFormat/>
    <w:uiPriority w:val="30"/>
    <w:rPr>
      <w:i/>
    </w:rPr>
  </w:style>
  <w:style w:type="character" w:customStyle="1" w:styleId="54">
    <w:name w:val="Header Char"/>
    <w:basedOn w:val="2"/>
    <w:link w:val="55"/>
    <w:qFormat/>
    <w:uiPriority w:val="99"/>
  </w:style>
  <w:style w:type="paragraph" w:customStyle="1" w:styleId="55">
    <w:name w:val="Header"/>
    <w:basedOn w:val="1"/>
    <w:link w:val="54"/>
    <w:semiHidden/>
    <w:unhideWhenUsed/>
    <w:qFormat/>
    <w:uiPriority w:val="99"/>
    <w:pPr>
      <w:tabs>
        <w:tab w:val="center" w:pos="4153"/>
        <w:tab w:val="right" w:pos="8306"/>
      </w:tabs>
    </w:pPr>
  </w:style>
  <w:style w:type="character" w:customStyle="1" w:styleId="56">
    <w:name w:val="Footer Char"/>
    <w:basedOn w:val="2"/>
    <w:qFormat/>
    <w:uiPriority w:val="99"/>
  </w:style>
  <w:style w:type="paragraph" w:customStyle="1" w:styleId="57">
    <w:name w:val="Caption"/>
    <w:basedOn w:val="1"/>
    <w:next w:val="1"/>
    <w:semiHidden/>
    <w:unhideWhenUsed/>
    <w:qFormat/>
    <w:uiPriority w:val="35"/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customStyle="1" w:styleId="58">
    <w:name w:val="Caption Char"/>
    <w:link w:val="59"/>
    <w:qFormat/>
    <w:uiPriority w:val="99"/>
  </w:style>
  <w:style w:type="paragraph" w:customStyle="1" w:styleId="59">
    <w:name w:val="Footer"/>
    <w:basedOn w:val="1"/>
    <w:link w:val="58"/>
    <w:semiHidden/>
    <w:unhideWhenUsed/>
    <w:qFormat/>
    <w:uiPriority w:val="99"/>
    <w:pPr>
      <w:tabs>
        <w:tab w:val="center" w:pos="4153"/>
        <w:tab w:val="right" w:pos="8306"/>
      </w:tabs>
    </w:pPr>
  </w:style>
  <w:style w:type="table" w:customStyle="1" w:styleId="60">
    <w:name w:val="Table Grid Light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Plain Table 1"/>
    <w:basedOn w:val="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1Horz">
      <w:tcPr>
        <w:shd w:val="clear" w:color="FFFFFF" w:themeColor="text1" w:themeTint="00" w:fill="FFFFFF" w:themeFill="text1" w:themeFillTint="00"/>
      </w:tcPr>
    </w:tblStylePr>
  </w:style>
  <w:style w:type="table" w:customStyle="1" w:styleId="62">
    <w:name w:val="Plain Table 2"/>
    <w:basedOn w:val="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3">
    <w:name w:val="Plain Table 3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64">
    <w:name w:val="Plain Table 4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65">
    <w:name w:val="Plain Table 5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66">
    <w:name w:val="Grid Table 1 Light"/>
    <w:basedOn w:val="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7">
    <w:name w:val="Grid Table 1 Light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8">
    <w:name w:val="Grid Table 1 Light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9">
    <w:name w:val="Grid Table 1 Light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70">
    <w:name w:val="Grid Table 1 Light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71">
    <w:name w:val="Grid Table 1 Light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72">
    <w:name w:val="Grid Table 1 Light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73">
    <w:name w:val="Grid Table 2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4">
    <w:name w:val="Grid Table 2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5">
    <w:name w:val="Grid Table 2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6">
    <w:name w:val="Grid Table 2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7">
    <w:name w:val="Grid Table 2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8">
    <w:name w:val="Grid Table 2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9">
    <w:name w:val="Grid Table 2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0">
    <w:name w:val="Grid Table 3"/>
    <w:basedOn w:val="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1">
    <w:name w:val="Grid Table 3 - Accent 1"/>
    <w:basedOn w:val="3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82">
    <w:name w:val="Grid Table 3 - Accent 2"/>
    <w:basedOn w:val="3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3">
    <w:name w:val="Grid Table 3 - Accent 3"/>
    <w:basedOn w:val="3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4">
    <w:name w:val="Grid Table 3 - Accent 4"/>
    <w:basedOn w:val="3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5">
    <w:name w:val="Grid Table 3 - Accent 5"/>
    <w:basedOn w:val="3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6">
    <w:name w:val="Grid Table 3 - Accent 6"/>
    <w:basedOn w:val="3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7">
    <w:name w:val="Grid Table 4"/>
    <w:basedOn w:val="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8">
    <w:name w:val="Grid Table 4 - Accent 1"/>
    <w:basedOn w:val="3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9">
    <w:name w:val="Grid Table 4 - Accent 2"/>
    <w:basedOn w:val="3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90">
    <w:name w:val="Grid Table 4 - Accent 3"/>
    <w:basedOn w:val="3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91">
    <w:name w:val="Grid Table 4 - Accent 4"/>
    <w:basedOn w:val="3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92">
    <w:name w:val="Grid Table 4 - Accent 5"/>
    <w:basedOn w:val="3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93">
    <w:name w:val="Grid Table 4 - Accent 6"/>
    <w:basedOn w:val="3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94">
    <w:name w:val="Grid Table 5 Dark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5">
    <w:name w:val="Grid Table 5 Dark- Accent 1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6">
    <w:name w:val="Grid Table 5 Dark - Accent 2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7">
    <w:name w:val="Grid Table 5 Dark - Accent 3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8">
    <w:name w:val="Grid Table 5 Dark- Accent 4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9">
    <w:name w:val="Grid Table 5 Dark - Accent 5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100">
    <w:name w:val="Grid Table 5 Dark - Accent 6"/>
    <w:basedOn w:val="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101">
    <w:name w:val="Grid Table 6 Colorful"/>
    <w:basedOn w:val="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6 Colorful - Accent 1"/>
    <w:basedOn w:val="3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6 Colorful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6 Colorful - Accent 3"/>
    <w:basedOn w:val="3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  <w14:textFill>
          <w14:solidFill>
            <w14:schemeClr w14:val="accent3"/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5">
    <w:name w:val="Grid Table 6 Colorful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6 Colorful - Accent 5"/>
    <w:basedOn w:val="3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6 Colorful - Accent 6"/>
    <w:basedOn w:val="3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8">
    <w:name w:val="Grid Table 7 Colorful"/>
    <w:basedOn w:val="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9">
    <w:name w:val="Grid Table 7 Colorful - Accent 1"/>
    <w:basedOn w:val="3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0">
    <w:name w:val="Grid Table 7 Colorful - Accent 2"/>
    <w:basedOn w:val="3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1">
    <w:name w:val="Grid Table 7 Colorful - Accent 3"/>
    <w:basedOn w:val="3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12">
    <w:name w:val="Grid Table 7 Colorful - Accent 4"/>
    <w:basedOn w:val="3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3">
    <w:name w:val="Grid Table 7 Colorful - Accent 5"/>
    <w:basedOn w:val="3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14">
    <w:name w:val="Grid Table 7 Colorful - Accent 6"/>
    <w:basedOn w:val="3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15">
    <w:name w:val="List Table 1 Light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6">
    <w:name w:val="List Table 1 Light - Accent 1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7">
    <w:name w:val="List Table 1 Light - Accent 2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8">
    <w:name w:val="List Table 1 Light - Accent 3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9">
    <w:name w:val="List Table 1 Light - Accent 4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20">
    <w:name w:val="List Table 1 Light - Accent 5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21">
    <w:name w:val="List Table 1 Light - Accent 6"/>
    <w:basedOn w:val="3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22">
    <w:name w:val="List Table 2"/>
    <w:basedOn w:val="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3">
    <w:name w:val="List Table 2 - Accent 1"/>
    <w:basedOn w:val="3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24">
    <w:name w:val="List Table 2 - Accent 2"/>
    <w:basedOn w:val="3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25">
    <w:name w:val="List Table 2 - Accent 3"/>
    <w:basedOn w:val="3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6">
    <w:name w:val="List Table 2 - Accent 4"/>
    <w:basedOn w:val="3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7">
    <w:name w:val="List Table 2 - Accent 5"/>
    <w:basedOn w:val="3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8">
    <w:name w:val="List Table 2 - Accent 6"/>
    <w:basedOn w:val="3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9">
    <w:name w:val="List Table 3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30">
    <w:name w:val="List Table 3 - Accent 1"/>
    <w:basedOn w:val="3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31">
    <w:name w:val="List Table 3 - Accent 2"/>
    <w:basedOn w:val="3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32">
    <w:name w:val="List Table 3 - Accent 3"/>
    <w:basedOn w:val="3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33">
    <w:name w:val="List Table 3 - Accent 4"/>
    <w:basedOn w:val="3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34">
    <w:name w:val="List Table 3 - Accent 5"/>
    <w:basedOn w:val="3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35">
    <w:name w:val="List Table 3 - Accent 6"/>
    <w:basedOn w:val="3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6">
    <w:name w:val="List Table 4"/>
    <w:basedOn w:val="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7">
    <w:name w:val="List Table 4 - Accent 1"/>
    <w:basedOn w:val="3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8">
    <w:name w:val="List Table 4 - Accent 2"/>
    <w:basedOn w:val="3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9">
    <w:name w:val="List Table 4 - Accent 3"/>
    <w:basedOn w:val="3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40">
    <w:name w:val="List Table 4 - Accent 4"/>
    <w:basedOn w:val="3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41">
    <w:name w:val="List Table 4 - Accent 5"/>
    <w:basedOn w:val="3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42">
    <w:name w:val="List Table 4 - Accent 6"/>
    <w:basedOn w:val="3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43">
    <w:name w:val="List Table 5 Dark"/>
    <w:basedOn w:val="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4">
    <w:name w:val="List Table 5 Dark - Accent 1"/>
    <w:basedOn w:val="3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45">
    <w:name w:val="List Table 5 Dark - Accent 2"/>
    <w:basedOn w:val="3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6">
    <w:name w:val="List Table 5 Dark - Accent 3"/>
    <w:basedOn w:val="3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7">
    <w:name w:val="List Table 5 Dark - Accent 4"/>
    <w:basedOn w:val="3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8">
    <w:name w:val="List Table 5 Dark - Accent 5"/>
    <w:basedOn w:val="3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9">
    <w:name w:val="List Table 5 Dark - Accent 6"/>
    <w:basedOn w:val="3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50">
    <w:name w:val="List Table 6 Colorful"/>
    <w:basedOn w:val="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51">
    <w:name w:val="List Table 6 Colorful - Accent 1"/>
    <w:basedOn w:val="3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6 Colorful - Accent 2"/>
    <w:basedOn w:val="3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6 Colorful - Accent 3"/>
    <w:basedOn w:val="3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6 Colorful - Accent 4"/>
    <w:basedOn w:val="3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6 Colorful - Accent 5"/>
    <w:basedOn w:val="3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6 Colorful - Accent 6"/>
    <w:basedOn w:val="3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"/>
    <w:basedOn w:val="3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8">
    <w:name w:val="List Table 7 Colorful - Accent 1"/>
    <w:basedOn w:val="3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9">
    <w:name w:val="List Table 7 Colorful - Accent 2"/>
    <w:basedOn w:val="3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0">
    <w:name w:val="List Table 7 Colorful - Accent 3"/>
    <w:basedOn w:val="3"/>
    <w:qFormat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1">
    <w:name w:val="List Table 7 Colorful - Accent 4"/>
    <w:basedOn w:val="3"/>
    <w:qFormat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2">
    <w:name w:val="List Table 7 Colorful - Accent 5"/>
    <w:basedOn w:val="3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3">
    <w:name w:val="List Table 7 Colorful - Accent 6"/>
    <w:basedOn w:val="3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ned - Accent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165">
    <w:name w:val="Lined - Accent 1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6">
    <w:name w:val="Lined - Accent 2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7">
    <w:name w:val="Lined - Accent 3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8">
    <w:name w:val="Lined - Accent 4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9">
    <w:name w:val="Lined - Accent 5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0">
    <w:name w:val="Lined - Accent 6"/>
    <w:basedOn w:val="3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1">
    <w:name w:val="Bordered &amp; Lined - Accent"/>
    <w:basedOn w:val="3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0" w:fill="FFFFFF" w:themeFill="text1" w:themeFillTint="00"/>
      </w:tcPr>
    </w:tblStylePr>
  </w:style>
  <w:style w:type="table" w:customStyle="1" w:styleId="172">
    <w:name w:val="Bordered &amp; Lined - Accent 1"/>
    <w:basedOn w:val="3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73">
    <w:name w:val="Bordered &amp; Lined - Accent 2"/>
    <w:basedOn w:val="3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74">
    <w:name w:val="Bordered &amp; Lined - Accent 3"/>
    <w:basedOn w:val="3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75">
    <w:name w:val="Bordered &amp; Lined - Accent 4"/>
    <w:basedOn w:val="3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6">
    <w:name w:val="Bordered &amp; Lined - Accent 5"/>
    <w:basedOn w:val="3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7">
    <w:name w:val="Bordered &amp; Lined - Accent 6"/>
    <w:basedOn w:val="3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8">
    <w:name w:val="Bordered"/>
    <w:basedOn w:val="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9">
    <w:name w:val="Bordered - Accent 1"/>
    <w:basedOn w:val="3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80">
    <w:name w:val="Bordered - Accent 2"/>
    <w:basedOn w:val="3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81">
    <w:name w:val="Bordered - Accent 3"/>
    <w:basedOn w:val="3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82">
    <w:name w:val="Bordered - Accent 4"/>
    <w:basedOn w:val="3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83">
    <w:name w:val="Bordered - Accent 5"/>
    <w:basedOn w:val="3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84">
    <w:name w:val="Bordered - Accent 6"/>
    <w:basedOn w:val="3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85">
    <w:name w:val="Текст сноски Знак"/>
    <w:link w:val="8"/>
    <w:qFormat/>
    <w:uiPriority w:val="99"/>
    <w:rPr>
      <w:sz w:val="18"/>
    </w:rPr>
  </w:style>
  <w:style w:type="character" w:customStyle="1" w:styleId="186">
    <w:name w:val="Текст концевой сноски Знак"/>
    <w:link w:val="7"/>
    <w:qFormat/>
    <w:uiPriority w:val="99"/>
    <w:rPr>
      <w:sz w:val="20"/>
    </w:rPr>
  </w:style>
  <w:style w:type="paragraph" w:customStyle="1" w:styleId="187">
    <w:name w:val="Заголовок оглавления1"/>
    <w:unhideWhenUsed/>
    <w:qFormat/>
    <w:uiPriority w:val="39"/>
    <w:rPr>
      <w:rFonts w:ascii="Times New Roman" w:hAnsi="Times New Roman" w:eastAsia="SimSun" w:cs="Times New Roman"/>
      <w:lang w:val="ru-RU" w:eastAsia="ru-RU" w:bidi="ar-SA"/>
    </w:rPr>
  </w:style>
  <w:style w:type="paragraph" w:styleId="188">
    <w:name w:val="List Paragraph"/>
    <w:basedOn w:val="1"/>
    <w:qFormat/>
    <w:uiPriority w:val="34"/>
    <w:pPr>
      <w:ind w:left="720"/>
      <w:contextualSpacing/>
    </w:pPr>
  </w:style>
  <w:style w:type="character" w:customStyle="1" w:styleId="189">
    <w:name w:val="Основной текст с отступом Знак"/>
    <w:basedOn w:val="2"/>
    <w:link w:val="19"/>
    <w:qFormat/>
    <w:uiPriority w:val="0"/>
    <w:rPr>
      <w:rFonts w:ascii="Times New Roman" w:hAnsi="Times New Roman" w:eastAsia="Times New Roman" w:cs="Times New Roman"/>
      <w:sz w:val="24"/>
      <w:szCs w:val="24"/>
    </w:rPr>
  </w:style>
  <w:style w:type="character" w:customStyle="1" w:styleId="190">
    <w:name w:val="font11"/>
    <w:uiPriority w:val="0"/>
    <w:rPr>
      <w:rFonts w:hint="default" w:ascii="Times New Roman" w:hAnsi="Times New Roman" w:cs="Times New Roman"/>
      <w:color w:val="00000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ACDE03-8A44-4E99-BC28-AE729EA56E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4</Pages>
  <Words>1340</Words>
  <Characters>8804</Characters>
  <Lines>72</Lines>
  <Paragraphs>20</Paragraphs>
  <TotalTime>145</TotalTime>
  <ScaleCrop>false</ScaleCrop>
  <LinksUpToDate>false</LinksUpToDate>
  <CharactersWithSpaces>10050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2025-12-29T13:03:00Z</dcterms:created>
  <dc:creator>RePack by Diakov</dc:creator>
  <cp:lastModifiedBy>Guskova</cp:lastModifiedBy>
  <cp:lastPrinted>2026-05-28T10:36:47Z</cp:lastPrinted>
  <dcterms:modified xsi:type="dcterms:W3CDTF">2026-05-28T12:04:18Z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3A877E97AF704858918E0BDC0AD9BA2B_13</vt:lpwstr>
  </property>
  <property fmtid="{D5CDD505-2E9C-101B-9397-08002B2CF9AE}" pid="4" name="KSOTemplateDocerSaveRecord">
    <vt:lpwstr>eyJoZGlkIjoiY2ViYmFhNWYwYWIwODFlNTUyMTA1ZjI2Yzk3MzA2NmYifQ==</vt:lpwstr>
  </property>
</Properties>
</file>